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2B10" w:rsidRDefault="00442DED">
      <w:pPr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 w:hint="cs"/>
          <w:sz w:val="28"/>
          <w:szCs w:val="28"/>
        </w:rPr>
        <w:t xml:space="preserve">        Дело № 7140-16-00-2/1466/16</w:t>
      </w:r>
    </w:p>
    <w:p w:rsidR="00EF2B10" w:rsidRDefault="00EF2B10">
      <w:pPr>
        <w:spacing w:after="0" w:line="240" w:lineRule="auto"/>
        <w:rPr>
          <w:rFonts w:ascii="Times New Roman" w:hAnsi="Times New Roman" w:cs="Times New Roman"/>
          <w:sz w:val="28"/>
        </w:rPr>
      </w:pPr>
    </w:p>
    <w:p w:rsidR="00EF2B10" w:rsidRDefault="00442DED">
      <w:pPr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 w:hint="cs"/>
          <w:sz w:val="28"/>
          <w:szCs w:val="28"/>
        </w:rPr>
        <w:t xml:space="preserve">                                                        РЕШЕНИЕ</w:t>
      </w:r>
      <w:r>
        <w:rPr>
          <w:rFonts w:ascii="Times New Roman" w:hAnsi="Times New Roman" w:cs="Times New Roman" w:hint="cs"/>
          <w:sz w:val="28"/>
          <w:szCs w:val="28"/>
        </w:rPr>
        <w:br/>
        <w:t xml:space="preserve">                             ИМЕНЕМ РЕСПУБЛИКИ КАЗАХСТАН                                                                 </w:t>
      </w:r>
    </w:p>
    <w:p w:rsidR="00EF2B10" w:rsidRDefault="00442DED">
      <w:pPr>
        <w:spacing w:after="0" w:line="240" w:lineRule="auto"/>
        <w:rPr>
          <w:rFonts w:ascii="Times New Roman" w:eastAsia="MS Mincho" w:hAnsi="Times New Roman" w:cs="Times New Roman"/>
          <w:sz w:val="28"/>
        </w:rPr>
      </w:pPr>
      <w:r>
        <w:rPr>
          <w:rFonts w:ascii="Times New Roman" w:eastAsia="MS Mincho" w:hAnsi="Times New Roman" w:cs="Times New Roman" w:hint="cs"/>
          <w:sz w:val="28"/>
          <w:szCs w:val="28"/>
        </w:rPr>
        <w:t xml:space="preserve">                                                        </w:t>
      </w:r>
    </w:p>
    <w:p w:rsidR="00EF2B10" w:rsidRDefault="00442DED">
      <w:pPr>
        <w:spacing w:after="0" w:line="240" w:lineRule="auto"/>
        <w:rPr>
          <w:rFonts w:ascii="Times New Roman" w:eastAsia="MS Mincho" w:hAnsi="Times New Roman" w:cs="Times New Roman"/>
          <w:sz w:val="28"/>
        </w:rPr>
      </w:pPr>
      <w:r>
        <w:rPr>
          <w:rFonts w:ascii="Times New Roman" w:eastAsia="MS Mincho" w:hAnsi="Times New Roman" w:cs="Times New Roman" w:hint="cs"/>
          <w:sz w:val="28"/>
          <w:szCs w:val="28"/>
        </w:rPr>
        <w:t xml:space="preserve">                                        </w:t>
      </w:r>
    </w:p>
    <w:p w:rsidR="00EF2B10" w:rsidRDefault="00442DED">
      <w:pPr>
        <w:pStyle w:val="1"/>
        <w:tabs>
          <w:tab w:val="left" w:pos="6300"/>
        </w:tabs>
        <w:rPr>
          <w:rFonts w:ascii="Times New Roman" w:eastAsia="MS Mincho" w:hAnsi="Times New Roman" w:cs="Times New Roman"/>
          <w:sz w:val="28"/>
        </w:rPr>
      </w:pPr>
      <w:r>
        <w:rPr>
          <w:rFonts w:ascii="Times New Roman" w:eastAsia="MS Mincho" w:hAnsi="Times New Roman" w:cs="Times New Roman" w:hint="cs"/>
          <w:sz w:val="28"/>
          <w:szCs w:val="28"/>
        </w:rPr>
        <w:t xml:space="preserve">       20  апреля  2016 года                    </w:t>
      </w:r>
      <w:r>
        <w:rPr>
          <w:rFonts w:ascii="Times New Roman" w:eastAsia="MS Mincho" w:hAnsi="Times New Roman" w:cs="Times New Roman" w:hint="cs"/>
          <w:sz w:val="28"/>
          <w:szCs w:val="28"/>
        </w:rPr>
        <w:tab/>
      </w:r>
      <w:r>
        <w:rPr>
          <w:rFonts w:ascii="Times New Roman" w:eastAsia="MS Mincho" w:hAnsi="Times New Roman" w:cs="Times New Roman" w:hint="cs"/>
          <w:sz w:val="28"/>
          <w:szCs w:val="28"/>
        </w:rPr>
        <w:tab/>
      </w:r>
      <w:r>
        <w:rPr>
          <w:rFonts w:ascii="Times New Roman" w:eastAsia="MS Mincho" w:hAnsi="Times New Roman" w:cs="Times New Roman" w:hint="cs"/>
          <w:sz w:val="28"/>
          <w:szCs w:val="28"/>
        </w:rPr>
        <w:tab/>
      </w:r>
      <w:r>
        <w:rPr>
          <w:rFonts w:ascii="Times New Roman" w:eastAsia="MS Mincho" w:hAnsi="Times New Roman" w:cs="Times New Roman" w:hint="cs"/>
          <w:sz w:val="28"/>
          <w:szCs w:val="28"/>
        </w:rPr>
        <w:tab/>
      </w:r>
      <w:proofErr w:type="spellStart"/>
      <w:r>
        <w:rPr>
          <w:rFonts w:ascii="Times New Roman" w:eastAsia="MS Mincho" w:hAnsi="Times New Roman" w:cs="Times New Roman" w:hint="cs"/>
          <w:sz w:val="28"/>
          <w:szCs w:val="28"/>
        </w:rPr>
        <w:t>г</w:t>
      </w:r>
      <w:proofErr w:type="gramStart"/>
      <w:r>
        <w:rPr>
          <w:rFonts w:ascii="Times New Roman" w:eastAsia="MS Mincho" w:hAnsi="Times New Roman" w:cs="Times New Roman" w:hint="cs"/>
          <w:sz w:val="28"/>
          <w:szCs w:val="28"/>
        </w:rPr>
        <w:t>.А</w:t>
      </w:r>
      <w:proofErr w:type="gramEnd"/>
      <w:r>
        <w:rPr>
          <w:rFonts w:ascii="Times New Roman" w:eastAsia="MS Mincho" w:hAnsi="Times New Roman" w:cs="Times New Roman" w:hint="cs"/>
          <w:sz w:val="28"/>
          <w:szCs w:val="28"/>
        </w:rPr>
        <w:t>стана</w:t>
      </w:r>
      <w:proofErr w:type="spellEnd"/>
      <w:r>
        <w:rPr>
          <w:rFonts w:ascii="Times New Roman" w:eastAsia="MS Mincho" w:hAnsi="Times New Roman" w:cs="Times New Roman" w:hint="cs"/>
          <w:sz w:val="28"/>
          <w:szCs w:val="28"/>
        </w:rPr>
        <w:t xml:space="preserve"> </w:t>
      </w:r>
    </w:p>
    <w:p w:rsidR="00EF2B10" w:rsidRDefault="00EF2B10">
      <w:pPr>
        <w:pStyle w:val="1"/>
        <w:ind w:firstLine="540"/>
        <w:rPr>
          <w:rFonts w:ascii="Times New Roman" w:eastAsia="MS Mincho" w:hAnsi="Times New Roman" w:cs="Times New Roman"/>
          <w:sz w:val="28"/>
        </w:rPr>
      </w:pPr>
    </w:p>
    <w:p w:rsidR="00EF2B10" w:rsidRDefault="00442D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proofErr w:type="spellStart"/>
      <w:r>
        <w:rPr>
          <w:rFonts w:ascii="Times New Roman" w:eastAsia="MS Mincho" w:hAnsi="Times New Roman" w:cs="Times New Roman" w:hint="cs"/>
          <w:sz w:val="28"/>
          <w:szCs w:val="28"/>
        </w:rPr>
        <w:t>Есильский</w:t>
      </w:r>
      <w:proofErr w:type="spellEnd"/>
      <w:r>
        <w:rPr>
          <w:rFonts w:ascii="Times New Roman" w:eastAsia="MS Mincho" w:hAnsi="Times New Roman" w:cs="Times New Roman" w:hint="cs"/>
          <w:sz w:val="28"/>
          <w:szCs w:val="28"/>
        </w:rPr>
        <w:t xml:space="preserve"> районный суд города Астаны под председательством судьи  </w:t>
      </w:r>
      <w:proofErr w:type="spellStart"/>
      <w:r>
        <w:rPr>
          <w:rFonts w:ascii="Times New Roman" w:eastAsia="MS Mincho" w:hAnsi="Times New Roman" w:cs="Times New Roman" w:hint="cs"/>
          <w:sz w:val="28"/>
          <w:szCs w:val="28"/>
        </w:rPr>
        <w:t>Башеновой</w:t>
      </w:r>
      <w:proofErr w:type="spellEnd"/>
      <w:r>
        <w:rPr>
          <w:rFonts w:ascii="Times New Roman" w:eastAsia="MS Mincho" w:hAnsi="Times New Roman" w:cs="Times New Roman" w:hint="cs"/>
          <w:sz w:val="28"/>
          <w:szCs w:val="28"/>
        </w:rPr>
        <w:t xml:space="preserve"> Г.М. при секретаре </w:t>
      </w:r>
      <w:proofErr w:type="spellStart"/>
      <w:r>
        <w:rPr>
          <w:rFonts w:ascii="Times New Roman" w:eastAsia="MS Mincho" w:hAnsi="Times New Roman" w:cs="Times New Roman" w:hint="cs"/>
          <w:sz w:val="28"/>
          <w:szCs w:val="28"/>
        </w:rPr>
        <w:t>Кенжалкызы</w:t>
      </w:r>
      <w:proofErr w:type="spellEnd"/>
      <w:r>
        <w:rPr>
          <w:rFonts w:ascii="Times New Roman" w:eastAsia="MS Mincho" w:hAnsi="Times New Roman" w:cs="Times New Roman" w:hint="cs"/>
          <w:sz w:val="28"/>
          <w:szCs w:val="28"/>
        </w:rPr>
        <w:t xml:space="preserve"> А., с участием  прокурора </w:t>
      </w:r>
      <w:proofErr w:type="spellStart"/>
      <w:r>
        <w:rPr>
          <w:rFonts w:ascii="Times New Roman" w:eastAsia="MS Mincho" w:hAnsi="Times New Roman" w:cs="Times New Roman" w:hint="cs"/>
          <w:sz w:val="28"/>
          <w:szCs w:val="28"/>
        </w:rPr>
        <w:t>Акмолинской</w:t>
      </w:r>
      <w:proofErr w:type="spellEnd"/>
      <w:r>
        <w:rPr>
          <w:rFonts w:ascii="Times New Roman" w:eastAsia="MS Mincho" w:hAnsi="Times New Roman" w:cs="Times New Roman" w:hint="cs"/>
          <w:sz w:val="28"/>
          <w:szCs w:val="28"/>
        </w:rPr>
        <w:t xml:space="preserve"> транспортной прокуратуры </w:t>
      </w:r>
      <w:proofErr w:type="spellStart"/>
      <w:r>
        <w:rPr>
          <w:rFonts w:ascii="Times New Roman" w:eastAsia="MS Mincho" w:hAnsi="Times New Roman" w:cs="Times New Roman" w:hint="cs"/>
          <w:sz w:val="28"/>
          <w:szCs w:val="28"/>
        </w:rPr>
        <w:t>Сахатовой</w:t>
      </w:r>
      <w:proofErr w:type="spellEnd"/>
      <w:r>
        <w:rPr>
          <w:rFonts w:ascii="Times New Roman" w:eastAsia="MS Mincho" w:hAnsi="Times New Roman" w:cs="Times New Roman" w:hint="cs"/>
          <w:sz w:val="28"/>
          <w:szCs w:val="28"/>
        </w:rPr>
        <w:t xml:space="preserve"> С.Е., представителя Комитета по делам религии </w:t>
      </w:r>
      <w:proofErr w:type="spellStart"/>
      <w:r>
        <w:rPr>
          <w:rFonts w:ascii="Times New Roman" w:eastAsia="MS Mincho" w:hAnsi="Times New Roman" w:cs="Times New Roman" w:hint="cs"/>
          <w:sz w:val="28"/>
          <w:szCs w:val="28"/>
        </w:rPr>
        <w:t>Баймухамедовой</w:t>
      </w:r>
      <w:proofErr w:type="spellEnd"/>
      <w:r>
        <w:rPr>
          <w:rFonts w:ascii="Times New Roman" w:eastAsia="MS Mincho" w:hAnsi="Times New Roman" w:cs="Times New Roman" w:hint="cs"/>
          <w:sz w:val="28"/>
          <w:szCs w:val="28"/>
        </w:rPr>
        <w:t xml:space="preserve"> А.М., действующей на основании доверенности от 29 января 2016 года, представителя  Линейного управления внутренних дел на </w:t>
      </w:r>
      <w:proofErr w:type="spellStart"/>
      <w:r>
        <w:rPr>
          <w:rFonts w:ascii="Times New Roman" w:eastAsia="MS Mincho" w:hAnsi="Times New Roman" w:cs="Times New Roman" w:hint="cs"/>
          <w:sz w:val="28"/>
          <w:szCs w:val="28"/>
        </w:rPr>
        <w:t>ст</w:t>
      </w:r>
      <w:proofErr w:type="gramStart"/>
      <w:r>
        <w:rPr>
          <w:rFonts w:ascii="Times New Roman" w:eastAsia="MS Mincho" w:hAnsi="Times New Roman" w:cs="Times New Roman" w:hint="cs"/>
          <w:sz w:val="28"/>
          <w:szCs w:val="28"/>
        </w:rPr>
        <w:t>.А</w:t>
      </w:r>
      <w:proofErr w:type="gramEnd"/>
      <w:r>
        <w:rPr>
          <w:rFonts w:ascii="Times New Roman" w:eastAsia="MS Mincho" w:hAnsi="Times New Roman" w:cs="Times New Roman" w:hint="cs"/>
          <w:sz w:val="28"/>
          <w:szCs w:val="28"/>
        </w:rPr>
        <w:t>стана</w:t>
      </w:r>
      <w:proofErr w:type="spellEnd"/>
      <w:r>
        <w:rPr>
          <w:rFonts w:ascii="Times New Roman" w:eastAsia="MS Mincho" w:hAnsi="Times New Roman" w:cs="Times New Roman" w:hint="cs"/>
          <w:sz w:val="28"/>
          <w:szCs w:val="28"/>
        </w:rPr>
        <w:t xml:space="preserve">  </w:t>
      </w:r>
      <w:proofErr w:type="spellStart"/>
      <w:r>
        <w:rPr>
          <w:rFonts w:ascii="Times New Roman" w:eastAsia="MS Mincho" w:hAnsi="Times New Roman" w:cs="Times New Roman" w:hint="cs"/>
          <w:sz w:val="28"/>
          <w:szCs w:val="28"/>
        </w:rPr>
        <w:t>Абилева</w:t>
      </w:r>
      <w:proofErr w:type="spellEnd"/>
      <w:r>
        <w:rPr>
          <w:rFonts w:ascii="Times New Roman" w:eastAsia="MS Mincho" w:hAnsi="Times New Roman" w:cs="Times New Roman" w:hint="cs"/>
          <w:sz w:val="28"/>
          <w:szCs w:val="28"/>
        </w:rPr>
        <w:t xml:space="preserve"> Р.К., рассмотрев в помещении суда гражданское дело по заявлению </w:t>
      </w:r>
      <w:proofErr w:type="spellStart"/>
      <w:r>
        <w:rPr>
          <w:rFonts w:ascii="Times New Roman" w:eastAsia="MS Mincho" w:hAnsi="Times New Roman" w:cs="Times New Roman" w:hint="cs"/>
          <w:sz w:val="28"/>
          <w:szCs w:val="28"/>
        </w:rPr>
        <w:t>Акмолинской</w:t>
      </w:r>
      <w:proofErr w:type="spellEnd"/>
      <w:r>
        <w:rPr>
          <w:rFonts w:ascii="Times New Roman" w:eastAsia="MS Mincho" w:hAnsi="Times New Roman" w:cs="Times New Roman" w:hint="cs"/>
          <w:sz w:val="28"/>
          <w:szCs w:val="28"/>
        </w:rPr>
        <w:t xml:space="preserve"> транспортной прокуратуры о признании литературы, ввезенной на территорию РК, экстремистской</w:t>
      </w:r>
      <w:r>
        <w:rPr>
          <w:rFonts w:ascii="Times New Roman" w:eastAsia="Times New Roman" w:hAnsi="Times New Roman" w:cs="Times New Roman" w:hint="cs"/>
          <w:sz w:val="28"/>
          <w:szCs w:val="28"/>
        </w:rPr>
        <w:t xml:space="preserve"> и запрете её ввоза, издания и распространения на территории РК,</w:t>
      </w:r>
    </w:p>
    <w:p w:rsidR="00EF2B10" w:rsidRDefault="00442DED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 w:hint="cs"/>
          <w:sz w:val="28"/>
          <w:szCs w:val="28"/>
        </w:rPr>
        <w:t xml:space="preserve"> </w:t>
      </w:r>
    </w:p>
    <w:p w:rsidR="00EF2B10" w:rsidRDefault="00442DED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hAnsi="Times New Roman" w:cs="Times New Roman" w:hint="cs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 w:hint="cs"/>
          <w:sz w:val="28"/>
          <w:szCs w:val="28"/>
        </w:rPr>
        <w:t xml:space="preserve">                                        </w:t>
      </w:r>
      <w:r>
        <w:rPr>
          <w:rFonts w:ascii="Times New Roman" w:eastAsia="MS Mincho" w:hAnsi="Times New Roman" w:cs="Times New Roman" w:hint="cs"/>
          <w:bCs/>
          <w:sz w:val="28"/>
          <w:szCs w:val="28"/>
        </w:rPr>
        <w:t xml:space="preserve">  УСТАНОВИЛ:</w:t>
      </w:r>
    </w:p>
    <w:p w:rsidR="00EF2B10" w:rsidRDefault="00EF2B10">
      <w:pPr>
        <w:shd w:val="clear" w:color="auto" w:fill="FFFFFF"/>
        <w:spacing w:after="0" w:line="240" w:lineRule="auto"/>
        <w:rPr>
          <w:rFonts w:ascii="Times New Roman" w:eastAsia="MS Mincho" w:hAnsi="Times New Roman" w:cs="Times New Roman"/>
          <w:sz w:val="28"/>
        </w:rPr>
      </w:pPr>
    </w:p>
    <w:p w:rsidR="00EF2B10" w:rsidRDefault="00442DED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hAnsi="Times New Roman" w:cs="Times New Roman" w:hint="cs"/>
          <w:sz w:val="28"/>
          <w:szCs w:val="28"/>
        </w:rPr>
        <w:t xml:space="preserve"> </w:t>
      </w:r>
      <w:proofErr w:type="spellStart"/>
      <w:r>
        <w:rPr>
          <w:rFonts w:ascii="Times New Roman" w:eastAsia="MS Mincho" w:hAnsi="Times New Roman" w:cs="Times New Roman" w:hint="cs"/>
          <w:sz w:val="28"/>
          <w:szCs w:val="28"/>
        </w:rPr>
        <w:t>Акмолинская</w:t>
      </w:r>
      <w:proofErr w:type="spellEnd"/>
      <w:r>
        <w:rPr>
          <w:rFonts w:ascii="Times New Roman" w:eastAsia="MS Mincho" w:hAnsi="Times New Roman" w:cs="Times New Roman" w:hint="cs"/>
          <w:sz w:val="28"/>
          <w:szCs w:val="28"/>
        </w:rPr>
        <w:t xml:space="preserve"> транспортная прокуратура </w:t>
      </w:r>
      <w:r>
        <w:rPr>
          <w:rFonts w:ascii="Times New Roman" w:hAnsi="Times New Roman" w:cs="Times New Roman" w:hint="cs"/>
          <w:sz w:val="28"/>
          <w:szCs w:val="28"/>
        </w:rPr>
        <w:t xml:space="preserve">обратилась в суд с заявлением </w:t>
      </w:r>
      <w:r>
        <w:rPr>
          <w:rFonts w:ascii="Times New Roman" w:eastAsia="MS Mincho" w:hAnsi="Times New Roman" w:cs="Times New Roman" w:hint="cs"/>
          <w:sz w:val="28"/>
          <w:szCs w:val="28"/>
        </w:rPr>
        <w:t>о признании литературы, ввезенной на территорию РК,  экстремистской</w:t>
      </w:r>
      <w:r>
        <w:rPr>
          <w:rFonts w:ascii="Times New Roman" w:hAnsi="Times New Roman" w:cs="Times New Roman" w:hint="cs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 w:hint="cs"/>
          <w:sz w:val="28"/>
          <w:szCs w:val="28"/>
        </w:rPr>
        <w:t>и запрете её ввоза, издания и распространения на территории РК.</w:t>
      </w:r>
    </w:p>
    <w:p w:rsidR="00EF2B10" w:rsidRDefault="00442DED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 w:hint="cs"/>
          <w:sz w:val="28"/>
          <w:szCs w:val="28"/>
        </w:rPr>
        <w:t>В обоснование заявленных требований указывает на следующие обстоятельства.</w:t>
      </w:r>
    </w:p>
    <w:p w:rsidR="00EF2B10" w:rsidRDefault="00442DED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proofErr w:type="gramStart"/>
      <w:r>
        <w:rPr>
          <w:rFonts w:ascii="Times New Roman" w:eastAsia="Times New Roman" w:hAnsi="Times New Roman" w:cs="Times New Roman" w:hint="cs"/>
          <w:sz w:val="28"/>
          <w:szCs w:val="28"/>
        </w:rPr>
        <w:t xml:space="preserve">1 октября 2015 года в пассажирском поезде № 376 сообщением «Астана-Защита» в прицепном вагоне № 25 сотрудниками ЛОП на станции </w:t>
      </w:r>
      <w:proofErr w:type="spellStart"/>
      <w:r>
        <w:rPr>
          <w:rFonts w:ascii="Times New Roman" w:eastAsia="Times New Roman" w:hAnsi="Times New Roman" w:cs="Times New Roman" w:hint="cs"/>
          <w:sz w:val="28"/>
          <w:szCs w:val="28"/>
        </w:rPr>
        <w:t>Ерейментау</w:t>
      </w:r>
      <w:proofErr w:type="spellEnd"/>
      <w:r>
        <w:rPr>
          <w:rFonts w:ascii="Times New Roman" w:eastAsia="Times New Roman" w:hAnsi="Times New Roman" w:cs="Times New Roman" w:hint="cs"/>
          <w:sz w:val="28"/>
          <w:szCs w:val="28"/>
        </w:rPr>
        <w:t xml:space="preserve"> выявлен </w:t>
      </w:r>
      <w:proofErr w:type="spellStart"/>
      <w:r>
        <w:rPr>
          <w:rFonts w:ascii="Times New Roman" w:eastAsia="Times New Roman" w:hAnsi="Times New Roman" w:cs="Times New Roman" w:hint="cs"/>
          <w:sz w:val="28"/>
          <w:szCs w:val="28"/>
        </w:rPr>
        <w:t>Абдураимов</w:t>
      </w:r>
      <w:proofErr w:type="spellEnd"/>
      <w:r>
        <w:rPr>
          <w:rFonts w:ascii="Times New Roman" w:eastAsia="Times New Roman" w:hAnsi="Times New Roman" w:cs="Times New Roman" w:hint="cs"/>
          <w:sz w:val="28"/>
          <w:szCs w:val="28"/>
        </w:rPr>
        <w:t xml:space="preserve"> Алишер </w:t>
      </w:r>
      <w:proofErr w:type="spellStart"/>
      <w:r>
        <w:rPr>
          <w:rFonts w:ascii="Times New Roman" w:eastAsia="Times New Roman" w:hAnsi="Times New Roman" w:cs="Times New Roman" w:hint="cs"/>
          <w:sz w:val="28"/>
          <w:szCs w:val="28"/>
        </w:rPr>
        <w:t>Эркинбаевич</w:t>
      </w:r>
      <w:proofErr w:type="spellEnd"/>
      <w:r>
        <w:rPr>
          <w:rFonts w:ascii="Times New Roman" w:eastAsia="Times New Roman" w:hAnsi="Times New Roman" w:cs="Times New Roman" w:hint="cs"/>
          <w:sz w:val="28"/>
          <w:szCs w:val="28"/>
        </w:rPr>
        <w:t xml:space="preserve"> 20.07.1971 года рождения, проживающий по адресу: город Павлодар, улица Катаева 48-87,  у которого обнаружены книги религиозного содержания на турецком и русском языках, привезенные по  пояснениям последнего из Турции.</w:t>
      </w:r>
      <w:proofErr w:type="gramEnd"/>
    </w:p>
    <w:p w:rsidR="00EF2B10" w:rsidRDefault="00442DED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proofErr w:type="gramStart"/>
      <w:r>
        <w:rPr>
          <w:rFonts w:ascii="Times New Roman" w:eastAsia="Times New Roman" w:hAnsi="Times New Roman" w:cs="Times New Roman" w:hint="cs"/>
          <w:sz w:val="28"/>
          <w:szCs w:val="28"/>
        </w:rPr>
        <w:t>Согласно заключения</w:t>
      </w:r>
      <w:proofErr w:type="gramEnd"/>
      <w:r>
        <w:rPr>
          <w:rFonts w:ascii="Times New Roman" w:eastAsia="Times New Roman" w:hAnsi="Times New Roman" w:cs="Times New Roman" w:hint="cs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 w:hint="cs"/>
          <w:sz w:val="28"/>
          <w:szCs w:val="28"/>
        </w:rPr>
        <w:t>экперта</w:t>
      </w:r>
      <w:proofErr w:type="spellEnd"/>
      <w:r>
        <w:rPr>
          <w:rFonts w:ascii="Times New Roman" w:eastAsia="Times New Roman" w:hAnsi="Times New Roman" w:cs="Times New Roman" w:hint="cs"/>
          <w:sz w:val="28"/>
          <w:szCs w:val="28"/>
        </w:rPr>
        <w:t xml:space="preserve"> Центра судебной экспертизы Министерства Юстиции Республики Казахстан № 3205 от 30 ноября 2015 года, представленная на исследование книга на турецком языке «</w:t>
      </w:r>
      <w:proofErr w:type="spellStart"/>
      <w:r>
        <w:rPr>
          <w:rFonts w:ascii="Times New Roman" w:eastAsia="Times New Roman" w:hAnsi="Times New Roman" w:cs="Times New Roman" w:hint="cs"/>
          <w:sz w:val="28"/>
          <w:szCs w:val="28"/>
        </w:rPr>
        <w:t>Сохбетлер</w:t>
      </w:r>
      <w:proofErr w:type="spellEnd"/>
      <w:r>
        <w:rPr>
          <w:rFonts w:ascii="Times New Roman" w:eastAsia="Times New Roman" w:hAnsi="Times New Roman" w:cs="Times New Roman" w:hint="cs"/>
          <w:sz w:val="28"/>
          <w:szCs w:val="28"/>
        </w:rPr>
        <w:t xml:space="preserve">» на 528 страницах автор </w:t>
      </w:r>
      <w:proofErr w:type="spellStart"/>
      <w:r>
        <w:rPr>
          <w:rFonts w:ascii="Times New Roman" w:eastAsia="Times New Roman" w:hAnsi="Times New Roman" w:cs="Times New Roman" w:hint="cs"/>
          <w:sz w:val="28"/>
          <w:szCs w:val="28"/>
        </w:rPr>
        <w:t>Махмут</w:t>
      </w:r>
      <w:proofErr w:type="spellEnd"/>
      <w:r>
        <w:rPr>
          <w:rFonts w:ascii="Times New Roman" w:eastAsia="Times New Roman" w:hAnsi="Times New Roman" w:cs="Times New Roman" w:hint="cs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 w:hint="cs"/>
          <w:sz w:val="28"/>
          <w:szCs w:val="28"/>
        </w:rPr>
        <w:t>Устаосманоглу</w:t>
      </w:r>
      <w:proofErr w:type="spellEnd"/>
      <w:r>
        <w:rPr>
          <w:rFonts w:ascii="Times New Roman" w:eastAsia="Times New Roman" w:hAnsi="Times New Roman" w:cs="Times New Roman" w:hint="cs"/>
          <w:sz w:val="28"/>
          <w:szCs w:val="28"/>
        </w:rPr>
        <w:t xml:space="preserve">, издательство « </w:t>
      </w:r>
      <w:proofErr w:type="spellStart"/>
      <w:r>
        <w:rPr>
          <w:rFonts w:ascii="Times New Roman" w:eastAsia="Times New Roman" w:hAnsi="Times New Roman" w:cs="Times New Roman" w:hint="cs"/>
          <w:sz w:val="28"/>
          <w:szCs w:val="28"/>
        </w:rPr>
        <w:t>Сирач</w:t>
      </w:r>
      <w:proofErr w:type="spellEnd"/>
      <w:r>
        <w:rPr>
          <w:rFonts w:ascii="Times New Roman" w:eastAsia="Times New Roman" w:hAnsi="Times New Roman" w:cs="Times New Roman" w:hint="cs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 w:hint="cs"/>
          <w:sz w:val="28"/>
          <w:szCs w:val="28"/>
        </w:rPr>
        <w:t>Китабеви</w:t>
      </w:r>
      <w:proofErr w:type="spellEnd"/>
      <w:r>
        <w:rPr>
          <w:rFonts w:ascii="Times New Roman" w:eastAsia="Times New Roman" w:hAnsi="Times New Roman" w:cs="Times New Roman" w:hint="cs"/>
          <w:sz w:val="28"/>
          <w:szCs w:val="28"/>
        </w:rPr>
        <w:t>» Стамбул – 1995, имеет призывы к возбуждению национальной, религиозной розни.</w:t>
      </w:r>
    </w:p>
    <w:p w:rsidR="00EF2B10" w:rsidRDefault="00442DED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 w:hint="cs"/>
          <w:sz w:val="28"/>
          <w:szCs w:val="28"/>
        </w:rPr>
        <w:t>В высказываниях из указанной книги содержатся побуждения к насильственным действиям в отношении лиц определенной национальности, религиозной, родовой, расовой и социальной принадлежности:</w:t>
      </w:r>
    </w:p>
    <w:p w:rsidR="00EF2B10" w:rsidRDefault="00442DED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 w:hint="cs"/>
          <w:sz w:val="28"/>
          <w:szCs w:val="28"/>
        </w:rPr>
        <w:t xml:space="preserve">1. "На пути к Аллаху надо жертвовать собой. Если в борьбе за религию будем робеть и будем бояться отдавать души свои, когда потребуется, то </w:t>
      </w:r>
      <w:proofErr w:type="spellStart"/>
      <w:r>
        <w:rPr>
          <w:rFonts w:ascii="Times New Roman" w:eastAsia="Times New Roman" w:hAnsi="Times New Roman" w:cs="Times New Roman" w:hint="cs"/>
          <w:sz w:val="28"/>
          <w:szCs w:val="28"/>
        </w:rPr>
        <w:t>кафиры</w:t>
      </w:r>
      <w:proofErr w:type="spellEnd"/>
      <w:r>
        <w:rPr>
          <w:rFonts w:ascii="Times New Roman" w:eastAsia="Times New Roman" w:hAnsi="Times New Roman" w:cs="Times New Roman" w:hint="cs"/>
          <w:sz w:val="28"/>
          <w:szCs w:val="28"/>
        </w:rPr>
        <w:t xml:space="preserve"> победят нас» </w:t>
      </w:r>
      <w:proofErr w:type="gramStart"/>
      <w:r>
        <w:rPr>
          <w:rFonts w:ascii="Times New Roman" w:eastAsia="Times New Roman" w:hAnsi="Times New Roman" w:cs="Times New Roman" w:hint="cs"/>
          <w:sz w:val="28"/>
          <w:szCs w:val="28"/>
        </w:rPr>
        <w:t>-с</w:t>
      </w:r>
      <w:proofErr w:type="gramEnd"/>
      <w:r>
        <w:rPr>
          <w:rFonts w:ascii="Times New Roman" w:eastAsia="Times New Roman" w:hAnsi="Times New Roman" w:cs="Times New Roman" w:hint="cs"/>
          <w:sz w:val="28"/>
          <w:szCs w:val="28"/>
        </w:rPr>
        <w:t>тр.107;</w:t>
      </w:r>
    </w:p>
    <w:p w:rsidR="00EF2B10" w:rsidRDefault="00442DED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 w:hint="cs"/>
          <w:sz w:val="28"/>
          <w:szCs w:val="28"/>
        </w:rPr>
        <w:t xml:space="preserve">2. "Ей, верующие! Многие иудейские  ученые и христианские монахи несправедливо покушаются на имущество людей, сбивают людей с пути Аллаха. </w:t>
      </w:r>
      <w:r>
        <w:rPr>
          <w:rFonts w:ascii="Times New Roman" w:eastAsia="Times New Roman" w:hAnsi="Times New Roman" w:cs="Times New Roman" w:hint="cs"/>
          <w:sz w:val="28"/>
          <w:szCs w:val="28"/>
        </w:rPr>
        <w:lastRenderedPageBreak/>
        <w:t>Сообщите им о печальных муках. Смотрите, иудейские и христианские ученые   не только покушаются на имущество людей без причин, без каких-либо прав на это, но и также отбирают деньги и при этом говорят (про мусульман) будь без веры, безбожником. Значит и твое имущество и последняя жизнь пропадут. Разве это возможно…» - стр.196;</w:t>
      </w:r>
    </w:p>
    <w:p w:rsidR="00EF2B10" w:rsidRDefault="00442DED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 w:hint="cs"/>
          <w:sz w:val="28"/>
          <w:szCs w:val="28"/>
        </w:rPr>
        <w:t xml:space="preserve">3. "В </w:t>
      </w:r>
      <w:proofErr w:type="spellStart"/>
      <w:r>
        <w:rPr>
          <w:rFonts w:ascii="Times New Roman" w:eastAsia="Times New Roman" w:hAnsi="Times New Roman" w:cs="Times New Roman" w:hint="cs"/>
          <w:sz w:val="28"/>
          <w:szCs w:val="28"/>
        </w:rPr>
        <w:t>аяте</w:t>
      </w:r>
      <w:proofErr w:type="spellEnd"/>
      <w:r>
        <w:rPr>
          <w:rFonts w:ascii="Times New Roman" w:eastAsia="Times New Roman" w:hAnsi="Times New Roman" w:cs="Times New Roman" w:hint="cs"/>
          <w:sz w:val="28"/>
          <w:szCs w:val="28"/>
        </w:rPr>
        <w:t xml:space="preserve"> нашего урока упоминалось третье свойство – «джихад на пути Аллаха». Этот джихад делится на два: Большой джихад  и малый джихад. </w:t>
      </w:r>
      <w:proofErr w:type="gramStart"/>
      <w:r>
        <w:rPr>
          <w:rFonts w:ascii="Times New Roman" w:eastAsia="Times New Roman" w:hAnsi="Times New Roman" w:cs="Times New Roman" w:hint="cs"/>
          <w:sz w:val="28"/>
          <w:szCs w:val="28"/>
        </w:rPr>
        <w:t>Врагов</w:t>
      </w:r>
      <w:proofErr w:type="gramEnd"/>
      <w:r>
        <w:rPr>
          <w:rFonts w:ascii="Times New Roman" w:eastAsia="Times New Roman" w:hAnsi="Times New Roman" w:cs="Times New Roman" w:hint="cs"/>
          <w:sz w:val="28"/>
          <w:szCs w:val="28"/>
        </w:rPr>
        <w:t xml:space="preserve"> как против греков так и против </w:t>
      </w:r>
      <w:proofErr w:type="spellStart"/>
      <w:r>
        <w:rPr>
          <w:rFonts w:ascii="Times New Roman" w:eastAsia="Times New Roman" w:hAnsi="Times New Roman" w:cs="Times New Roman" w:hint="cs"/>
          <w:sz w:val="28"/>
          <w:szCs w:val="28"/>
        </w:rPr>
        <w:t>болгаров</w:t>
      </w:r>
      <w:proofErr w:type="spellEnd"/>
      <w:r>
        <w:rPr>
          <w:rFonts w:ascii="Times New Roman" w:eastAsia="Times New Roman" w:hAnsi="Times New Roman" w:cs="Times New Roman" w:hint="cs"/>
          <w:sz w:val="28"/>
          <w:szCs w:val="28"/>
        </w:rPr>
        <w:t>, называется малым джихадом. Большим джихадом считается – борьба человека со своими страстями и самим собой» - стр.272;</w:t>
      </w:r>
    </w:p>
    <w:p w:rsidR="00EF2B10" w:rsidRDefault="00442DED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 w:hint="cs"/>
          <w:sz w:val="28"/>
          <w:szCs w:val="28"/>
        </w:rPr>
        <w:t xml:space="preserve">4. «Вы ищете величие у дверей в Европу. Разве можно искать достоинство у </w:t>
      </w:r>
      <w:proofErr w:type="spellStart"/>
      <w:r>
        <w:rPr>
          <w:rFonts w:ascii="Times New Roman" w:eastAsia="Times New Roman" w:hAnsi="Times New Roman" w:cs="Times New Roman" w:hint="cs"/>
          <w:sz w:val="28"/>
          <w:szCs w:val="28"/>
        </w:rPr>
        <w:t>кафирей</w:t>
      </w:r>
      <w:proofErr w:type="spellEnd"/>
      <w:r>
        <w:rPr>
          <w:rFonts w:ascii="Times New Roman" w:eastAsia="Times New Roman" w:hAnsi="Times New Roman" w:cs="Times New Roman" w:hint="cs"/>
          <w:sz w:val="28"/>
          <w:szCs w:val="28"/>
        </w:rPr>
        <w:t xml:space="preserve">, </w:t>
      </w:r>
      <w:proofErr w:type="gramStart"/>
      <w:r>
        <w:rPr>
          <w:rFonts w:ascii="Times New Roman" w:eastAsia="Times New Roman" w:hAnsi="Times New Roman" w:cs="Times New Roman" w:hint="cs"/>
          <w:sz w:val="28"/>
          <w:szCs w:val="28"/>
        </w:rPr>
        <w:t>которых</w:t>
      </w:r>
      <w:proofErr w:type="gramEnd"/>
      <w:r>
        <w:rPr>
          <w:rFonts w:ascii="Times New Roman" w:eastAsia="Times New Roman" w:hAnsi="Times New Roman" w:cs="Times New Roman" w:hint="cs"/>
          <w:sz w:val="28"/>
          <w:szCs w:val="28"/>
        </w:rPr>
        <w:t xml:space="preserve"> уже приговорили к аду? Откуда они найдут достоинство: говорят, если лысый найдет лекарство, начнет мазать на голову. Если назовете Европу зоопарком, то вы их возвысите. Так как Аллах молвит, что они хуже животных» - стр.338;</w:t>
      </w:r>
    </w:p>
    <w:p w:rsidR="00EF2B10" w:rsidRDefault="00442DED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lang w:val="kk-KZ"/>
        </w:rPr>
      </w:pPr>
      <w:r>
        <w:rPr>
          <w:rFonts w:ascii="Times New Roman" w:eastAsia="Times New Roman" w:hAnsi="Times New Roman" w:cs="Times New Roman" w:hint="cs"/>
          <w:sz w:val="28"/>
          <w:szCs w:val="28"/>
        </w:rPr>
        <w:t>5. "Джихад – значит бороться (воевать) изо всех сил бывает трех видов. Одни – враги религии (</w:t>
      </w:r>
      <w:proofErr w:type="gramStart"/>
      <w:r>
        <w:rPr>
          <w:rFonts w:ascii="Times New Roman" w:eastAsia="Times New Roman" w:hAnsi="Times New Roman" w:cs="Times New Roman" w:hint="cs"/>
          <w:sz w:val="28"/>
          <w:szCs w:val="28"/>
        </w:rPr>
        <w:t>например</w:t>
      </w:r>
      <w:proofErr w:type="gramEnd"/>
      <w:r>
        <w:rPr>
          <w:rFonts w:ascii="Times New Roman" w:eastAsia="Times New Roman" w:hAnsi="Times New Roman" w:cs="Times New Roman" w:hint="cs"/>
          <w:sz w:val="28"/>
          <w:szCs w:val="28"/>
        </w:rPr>
        <w:t xml:space="preserve"> с русскими и греками) надо воевать во имя Аллаха. Второй джихад  со своими  страстями и самим собой. В третьих  борьба с сатаной» - стр.146.</w:t>
      </w:r>
    </w:p>
    <w:p w:rsidR="00EF2B10" w:rsidRDefault="00442DE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lang w:eastAsia="ar-SA"/>
        </w:rPr>
      </w:pPr>
      <w:r>
        <w:rPr>
          <w:rFonts w:ascii="Times New Roman" w:hAnsi="Times New Roman" w:cs="Times New Roman" w:hint="cs"/>
          <w:sz w:val="28"/>
          <w:szCs w:val="28"/>
          <w:lang w:eastAsia="ar-SA"/>
        </w:rPr>
        <w:t xml:space="preserve">ПО указанному событию  в отношении </w:t>
      </w:r>
      <w:proofErr w:type="spellStart"/>
      <w:r>
        <w:rPr>
          <w:rFonts w:ascii="Times New Roman" w:hAnsi="Times New Roman" w:cs="Times New Roman" w:hint="cs"/>
          <w:sz w:val="28"/>
          <w:szCs w:val="28"/>
          <w:lang w:eastAsia="ar-SA"/>
        </w:rPr>
        <w:t>Абдураимова</w:t>
      </w:r>
      <w:proofErr w:type="spellEnd"/>
      <w:r>
        <w:rPr>
          <w:rFonts w:ascii="Times New Roman" w:hAnsi="Times New Roman" w:cs="Times New Roman" w:hint="cs"/>
          <w:sz w:val="28"/>
          <w:szCs w:val="28"/>
          <w:lang w:eastAsia="ar-SA"/>
        </w:rPr>
        <w:t xml:space="preserve"> А.Э.  возбуждено административное производство по пункту 4 статьи 453 КоАП РК. Постановлением специализированного административного суда </w:t>
      </w:r>
      <w:proofErr w:type="spellStart"/>
      <w:r>
        <w:rPr>
          <w:rFonts w:ascii="Times New Roman" w:hAnsi="Times New Roman" w:cs="Times New Roman" w:hint="cs"/>
          <w:sz w:val="28"/>
          <w:szCs w:val="28"/>
          <w:lang w:eastAsia="ar-SA"/>
        </w:rPr>
        <w:t>г</w:t>
      </w:r>
      <w:proofErr w:type="gramStart"/>
      <w:r>
        <w:rPr>
          <w:rFonts w:ascii="Times New Roman" w:hAnsi="Times New Roman" w:cs="Times New Roman" w:hint="cs"/>
          <w:sz w:val="28"/>
          <w:szCs w:val="28"/>
          <w:lang w:eastAsia="ar-SA"/>
        </w:rPr>
        <w:t>.А</w:t>
      </w:r>
      <w:proofErr w:type="gramEnd"/>
      <w:r>
        <w:rPr>
          <w:rFonts w:ascii="Times New Roman" w:hAnsi="Times New Roman" w:cs="Times New Roman" w:hint="cs"/>
          <w:sz w:val="28"/>
          <w:szCs w:val="28"/>
          <w:lang w:eastAsia="ar-SA"/>
        </w:rPr>
        <w:t>стана</w:t>
      </w:r>
      <w:proofErr w:type="spellEnd"/>
      <w:r>
        <w:rPr>
          <w:rFonts w:ascii="Times New Roman" w:hAnsi="Times New Roman" w:cs="Times New Roman" w:hint="cs"/>
          <w:sz w:val="28"/>
          <w:szCs w:val="28"/>
          <w:lang w:eastAsia="ar-SA"/>
        </w:rPr>
        <w:t xml:space="preserve"> от 12 января 2016 года последний привлечен  к административной ответственности и подвергнут штрафу в размере 100 месячных расчетных показателей.</w:t>
      </w:r>
    </w:p>
    <w:p w:rsidR="00EF2B10" w:rsidRDefault="00442D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hAnsi="Times New Roman" w:cs="Times New Roman" w:hint="cs"/>
          <w:sz w:val="28"/>
          <w:szCs w:val="28"/>
          <w:lang w:eastAsia="ar-SA"/>
        </w:rPr>
        <w:t xml:space="preserve">Просит признать  книгу </w:t>
      </w:r>
      <w:r>
        <w:rPr>
          <w:rFonts w:ascii="Times New Roman" w:eastAsia="Times New Roman" w:hAnsi="Times New Roman" w:cs="Times New Roman" w:hint="cs"/>
          <w:sz w:val="28"/>
          <w:szCs w:val="28"/>
        </w:rPr>
        <w:t>на турецком языке «</w:t>
      </w:r>
      <w:proofErr w:type="spellStart"/>
      <w:r>
        <w:rPr>
          <w:rFonts w:ascii="Times New Roman" w:eastAsia="Times New Roman" w:hAnsi="Times New Roman" w:cs="Times New Roman" w:hint="cs"/>
          <w:sz w:val="28"/>
          <w:szCs w:val="28"/>
        </w:rPr>
        <w:t>Сохбетлер</w:t>
      </w:r>
      <w:proofErr w:type="spellEnd"/>
      <w:r>
        <w:rPr>
          <w:rFonts w:ascii="Times New Roman" w:eastAsia="Times New Roman" w:hAnsi="Times New Roman" w:cs="Times New Roman" w:hint="cs"/>
          <w:sz w:val="28"/>
          <w:szCs w:val="28"/>
        </w:rPr>
        <w:t xml:space="preserve">» на 528 страницах автор </w:t>
      </w:r>
      <w:proofErr w:type="spellStart"/>
      <w:r>
        <w:rPr>
          <w:rFonts w:ascii="Times New Roman" w:eastAsia="Times New Roman" w:hAnsi="Times New Roman" w:cs="Times New Roman" w:hint="cs"/>
          <w:sz w:val="28"/>
          <w:szCs w:val="28"/>
        </w:rPr>
        <w:t>Махмут</w:t>
      </w:r>
      <w:proofErr w:type="spellEnd"/>
      <w:r>
        <w:rPr>
          <w:rFonts w:ascii="Times New Roman" w:eastAsia="Times New Roman" w:hAnsi="Times New Roman" w:cs="Times New Roman" w:hint="cs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 w:hint="cs"/>
          <w:sz w:val="28"/>
          <w:szCs w:val="28"/>
        </w:rPr>
        <w:t>Устаосманоглу</w:t>
      </w:r>
      <w:proofErr w:type="spellEnd"/>
      <w:r>
        <w:rPr>
          <w:rFonts w:ascii="Times New Roman" w:eastAsia="Times New Roman" w:hAnsi="Times New Roman" w:cs="Times New Roman" w:hint="cs"/>
          <w:sz w:val="28"/>
          <w:szCs w:val="28"/>
        </w:rPr>
        <w:t xml:space="preserve">, издательство « </w:t>
      </w:r>
      <w:proofErr w:type="spellStart"/>
      <w:r>
        <w:rPr>
          <w:rFonts w:ascii="Times New Roman" w:eastAsia="Times New Roman" w:hAnsi="Times New Roman" w:cs="Times New Roman" w:hint="cs"/>
          <w:sz w:val="28"/>
          <w:szCs w:val="28"/>
        </w:rPr>
        <w:t>Сирач</w:t>
      </w:r>
      <w:proofErr w:type="spellEnd"/>
      <w:r>
        <w:rPr>
          <w:rFonts w:ascii="Times New Roman" w:eastAsia="Times New Roman" w:hAnsi="Times New Roman" w:cs="Times New Roman" w:hint="cs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 w:hint="cs"/>
          <w:sz w:val="28"/>
          <w:szCs w:val="28"/>
        </w:rPr>
        <w:t>Китабеви</w:t>
      </w:r>
      <w:proofErr w:type="spellEnd"/>
      <w:r>
        <w:rPr>
          <w:rFonts w:ascii="Times New Roman" w:eastAsia="Times New Roman" w:hAnsi="Times New Roman" w:cs="Times New Roman" w:hint="cs"/>
          <w:sz w:val="28"/>
          <w:szCs w:val="28"/>
        </w:rPr>
        <w:t>» Стамбул – 1995, экстремистской, запретить</w:t>
      </w:r>
      <w:r>
        <w:rPr>
          <w:rFonts w:ascii="Times New Roman" w:hAnsi="Times New Roman" w:cs="Times New Roman" w:hint="cs"/>
          <w:sz w:val="28"/>
          <w:szCs w:val="28"/>
        </w:rPr>
        <w:t xml:space="preserve"> её ввоз, издание и</w:t>
      </w:r>
      <w:r>
        <w:rPr>
          <w:rFonts w:ascii="Times New Roman" w:eastAsia="Times New Roman" w:hAnsi="Times New Roman" w:cs="Times New Roman" w:hint="cs"/>
          <w:sz w:val="28"/>
          <w:szCs w:val="28"/>
        </w:rPr>
        <w:t xml:space="preserve">  распространение на территории Республики Казахстан. Исполнение решения суда о запрете распространения возложить на Комитет по исполнению судебных актов Министерства Юстиции РК, Комитет национальной безопасности РК и Министерство по инвестициям и развитию РК.</w:t>
      </w:r>
    </w:p>
    <w:p w:rsidR="00EF2B10" w:rsidRDefault="00442DE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lang w:eastAsia="ar-SA"/>
        </w:rPr>
      </w:pPr>
      <w:r>
        <w:rPr>
          <w:rFonts w:ascii="Times New Roman" w:eastAsia="Times New Roman" w:hAnsi="Times New Roman" w:cs="Times New Roman" w:hint="cs"/>
          <w:sz w:val="28"/>
          <w:szCs w:val="28"/>
        </w:rPr>
        <w:t xml:space="preserve">  </w:t>
      </w:r>
      <w:r>
        <w:rPr>
          <w:rFonts w:ascii="Times New Roman" w:hAnsi="Times New Roman" w:cs="Times New Roman" w:hint="cs"/>
          <w:sz w:val="28"/>
          <w:szCs w:val="28"/>
          <w:lang w:eastAsia="ar-SA"/>
        </w:rPr>
        <w:t>В судебном заседании  прокурор поддержал заявленные требования, просил их удовлетворить в полном объеме по основаниям, изложенным в   заявлении.</w:t>
      </w:r>
    </w:p>
    <w:p w:rsidR="00EF2B10" w:rsidRDefault="00442D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 w:hint="cs"/>
          <w:sz w:val="28"/>
          <w:szCs w:val="28"/>
        </w:rPr>
        <w:t>Суд, выслушав пояснения, исследовав  материалы гражданского дела и представленные доказательства, заявленные требования находит подлежащими удовлетворению по следующим основаниям.</w:t>
      </w:r>
    </w:p>
    <w:p w:rsidR="00EF2B10" w:rsidRDefault="00442D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proofErr w:type="gramStart"/>
      <w:r>
        <w:rPr>
          <w:rFonts w:ascii="Times New Roman" w:eastAsia="Times New Roman" w:hAnsi="Times New Roman" w:cs="Times New Roman" w:hint="cs"/>
          <w:bCs/>
          <w:sz w:val="28"/>
          <w:szCs w:val="28"/>
        </w:rPr>
        <w:t>В соответствии со ст.376 ГПК РК,</w:t>
      </w:r>
      <w:r>
        <w:rPr>
          <w:rFonts w:ascii="Times New Roman" w:eastAsia="Times New Roman" w:hAnsi="Times New Roman" w:cs="Times New Roman" w:hint="cs"/>
          <w:b/>
          <w:bCs/>
          <w:sz w:val="28"/>
          <w:szCs w:val="28"/>
        </w:rPr>
        <w:t xml:space="preserve"> з</w:t>
      </w:r>
      <w:r>
        <w:rPr>
          <w:rFonts w:ascii="Times New Roman" w:eastAsia="Times New Roman" w:hAnsi="Times New Roman" w:cs="Times New Roman" w:hint="cs"/>
          <w:sz w:val="28"/>
          <w:szCs w:val="28"/>
        </w:rPr>
        <w:t xml:space="preserve">аявление о признании организации, осуществляющей экстремизм или террористическую деятельность на территории Республики Казахстан и (или) другого государства, экстремистской или террористической, в том числе об установлении изменения ею своего наименования, а также о признании информационных материалов, ввозимых, издаваемых, изготавливаемых и (или) распространяемых на территории Республики Казахстан, экстремистскими или террористическими, подается </w:t>
      </w:r>
      <w:r>
        <w:rPr>
          <w:rFonts w:ascii="Times New Roman" w:eastAsia="Times New Roman" w:hAnsi="Times New Roman" w:cs="Times New Roman" w:hint="cs"/>
          <w:sz w:val="28"/>
          <w:szCs w:val="28"/>
        </w:rPr>
        <w:lastRenderedPageBreak/>
        <w:t>прокурором в суд по</w:t>
      </w:r>
      <w:proofErr w:type="gramEnd"/>
      <w:r>
        <w:rPr>
          <w:rFonts w:ascii="Times New Roman" w:eastAsia="Times New Roman" w:hAnsi="Times New Roman" w:cs="Times New Roman" w:hint="cs"/>
          <w:sz w:val="28"/>
          <w:szCs w:val="28"/>
        </w:rPr>
        <w:t xml:space="preserve"> месту нахождения прокурора, заявившего такие требования, или по месту обнаружения таких материалов.</w:t>
      </w:r>
    </w:p>
    <w:p w:rsidR="00EF2B10" w:rsidRDefault="00442DE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 w:hint="cs"/>
          <w:sz w:val="28"/>
          <w:szCs w:val="28"/>
        </w:rPr>
        <w:t xml:space="preserve">        В соответствии с пунктом 3 статьи 20 Конституции Республики Казахстан, не допускается пропаганда или агитация насильственного изменения конституционного строя, нарушения целостности Республики, подрыва безопасности государства, войны, социального, расового, национального, религиозного, сословного и родового превосходства.</w:t>
      </w:r>
    </w:p>
    <w:p w:rsidR="00EF2B10" w:rsidRDefault="00442D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 w:hint="cs"/>
          <w:sz w:val="28"/>
          <w:szCs w:val="28"/>
        </w:rPr>
        <w:t>Также пунктом 2 статьи 39 Конституции Республики Казахстан любые действия, способные нарушить межнациональное согласие признаются неконституционными.</w:t>
      </w:r>
    </w:p>
    <w:p w:rsidR="00EF2B10" w:rsidRDefault="00442D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 w:hint="cs"/>
          <w:sz w:val="28"/>
          <w:szCs w:val="28"/>
        </w:rPr>
        <w:t>Согласно статье 3 Закона Республики Казахстан «О противодействии экстремизму» на территории Республики Казахстан запрещаются создание и деятельность организаций, цели или действия которых направлены на осуществление экстремизма.</w:t>
      </w:r>
    </w:p>
    <w:p w:rsidR="00EF2B10" w:rsidRDefault="00442D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proofErr w:type="gramStart"/>
      <w:r>
        <w:rPr>
          <w:rFonts w:ascii="Times New Roman" w:eastAsia="Times New Roman" w:hAnsi="Times New Roman" w:cs="Times New Roman" w:hint="cs"/>
          <w:sz w:val="28"/>
          <w:szCs w:val="28"/>
        </w:rPr>
        <w:t xml:space="preserve">Пунктом 5 статьи 1 Закона Республики Казахстан «О противодействии экстремизму» определено, что преследование цели совершения насильственного изменения конституционного строя, нарушение суверенитета Республики Казахстан, целостности, неприкосновенности и </w:t>
      </w:r>
      <w:proofErr w:type="spellStart"/>
      <w:r>
        <w:rPr>
          <w:rFonts w:ascii="Times New Roman" w:eastAsia="Times New Roman" w:hAnsi="Times New Roman" w:cs="Times New Roman" w:hint="cs"/>
          <w:sz w:val="28"/>
          <w:szCs w:val="28"/>
        </w:rPr>
        <w:t>неотчуждаемости</w:t>
      </w:r>
      <w:proofErr w:type="spellEnd"/>
      <w:r>
        <w:rPr>
          <w:rFonts w:ascii="Times New Roman" w:eastAsia="Times New Roman" w:hAnsi="Times New Roman" w:cs="Times New Roman" w:hint="cs"/>
          <w:sz w:val="28"/>
          <w:szCs w:val="28"/>
        </w:rPr>
        <w:t xml:space="preserve"> ее территории, подрыв национальной безопасности и обороноспособности государства, насильственный захват власти или насильственное удержание власти, создание, руководство и участие в незаконном военизированном формировании, организация вооруженного мятежа и участие в нем, разжигание социальной, сословной</w:t>
      </w:r>
      <w:proofErr w:type="gramEnd"/>
      <w:r>
        <w:rPr>
          <w:rFonts w:ascii="Times New Roman" w:eastAsia="Times New Roman" w:hAnsi="Times New Roman" w:cs="Times New Roman" w:hint="cs"/>
          <w:sz w:val="28"/>
          <w:szCs w:val="28"/>
        </w:rPr>
        <w:t xml:space="preserve"> розни, разжигание расовой, национальной и родовой розни, разжигание религиозной вражды или розни, в том числе связанной с насилием или призывами к насилию, а также применение любой религиозной практики, вызывающей угрозу безопасности, жизни, здоровью, нравственности или правам и свободам граждан является экстремизмом (политическим, национальным, религиозным).</w:t>
      </w:r>
    </w:p>
    <w:p w:rsidR="00EF2B10" w:rsidRDefault="00442D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 w:hint="cs"/>
          <w:sz w:val="28"/>
          <w:szCs w:val="28"/>
        </w:rPr>
        <w:t xml:space="preserve">Призывы к насильственному свержению или изменению конституционного строя либо насильственному нарушению единства территории Казахстана, в том числе совершенные с использованием средства массовой информации, влекут уголовную ответственность в соответствии с   Уголовным Кодексом Республики Казахстан. </w:t>
      </w:r>
    </w:p>
    <w:p w:rsidR="00EF2B10" w:rsidRDefault="00442D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 w:hint="cs"/>
          <w:sz w:val="28"/>
          <w:szCs w:val="28"/>
        </w:rPr>
        <w:t>В соответствии с подпунктом 8 пункта 1 статьи 6 Закона Республики Казахстан «О национальной безопасности Республики Казахстан» терроризм, экстремизм и сепаратизм в любых формах и проявлениях относятся к числу основных угроз национальной безопасности.</w:t>
      </w:r>
    </w:p>
    <w:p w:rsidR="00EF2B10" w:rsidRDefault="00442D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 w:hint="cs"/>
          <w:sz w:val="28"/>
          <w:szCs w:val="28"/>
        </w:rPr>
        <w:t>Распространение на территории Республики Казахстан печатной продукции и продукции иностранного средства массовой информации, содержание которых подрывает национальную безопасность, запрещено подпунктом 1 пункта 6 статьи 23 Закона Республики Казахстан                                   «О национальной безопасности Республики Казахстан».</w:t>
      </w:r>
    </w:p>
    <w:p w:rsidR="00EF2B10" w:rsidRDefault="00442D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 w:hint="cs"/>
          <w:sz w:val="28"/>
          <w:szCs w:val="28"/>
        </w:rPr>
        <w:t xml:space="preserve">Согласно пункту 4 статьи 13 Закона Республики Казахстан «О средствах массовой информации» публикация материалов и распространение информации, </w:t>
      </w:r>
      <w:r>
        <w:rPr>
          <w:rFonts w:ascii="Times New Roman" w:eastAsia="Times New Roman" w:hAnsi="Times New Roman" w:cs="Times New Roman" w:hint="cs"/>
          <w:sz w:val="28"/>
          <w:szCs w:val="28"/>
        </w:rPr>
        <w:lastRenderedPageBreak/>
        <w:t xml:space="preserve">направленной на разжигание межнациональной и межконфессиональной вражды является основанием для прекращения распространения продукции средства массовой информации. </w:t>
      </w:r>
    </w:p>
    <w:p w:rsidR="00EF2B10" w:rsidRDefault="00442D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 w:hint="cs"/>
          <w:sz w:val="28"/>
          <w:szCs w:val="28"/>
        </w:rPr>
        <w:t xml:space="preserve">В силу статьи 12  Закона «О противодействии экстремизму» на территории Республики </w:t>
      </w:r>
      <w:proofErr w:type="spellStart"/>
      <w:r>
        <w:rPr>
          <w:rFonts w:ascii="Times New Roman" w:eastAsia="Times New Roman" w:hAnsi="Times New Roman" w:cs="Times New Roman" w:hint="cs"/>
          <w:sz w:val="28"/>
          <w:szCs w:val="28"/>
        </w:rPr>
        <w:t>казахстан</w:t>
      </w:r>
      <w:proofErr w:type="spellEnd"/>
      <w:r>
        <w:rPr>
          <w:rFonts w:ascii="Times New Roman" w:eastAsia="Times New Roman" w:hAnsi="Times New Roman" w:cs="Times New Roman" w:hint="cs"/>
          <w:sz w:val="28"/>
          <w:szCs w:val="28"/>
        </w:rPr>
        <w:t xml:space="preserve"> запрещается использование сетей и сре</w:t>
      </w:r>
      <w:proofErr w:type="gramStart"/>
      <w:r>
        <w:rPr>
          <w:rFonts w:ascii="Times New Roman" w:eastAsia="Times New Roman" w:hAnsi="Times New Roman" w:cs="Times New Roman" w:hint="cs"/>
          <w:sz w:val="28"/>
          <w:szCs w:val="28"/>
        </w:rPr>
        <w:t>дств св</w:t>
      </w:r>
      <w:proofErr w:type="gramEnd"/>
      <w:r>
        <w:rPr>
          <w:rFonts w:ascii="Times New Roman" w:eastAsia="Times New Roman" w:hAnsi="Times New Roman" w:cs="Times New Roman" w:hint="cs"/>
          <w:sz w:val="28"/>
          <w:szCs w:val="28"/>
        </w:rPr>
        <w:t>язи для осуществления экстремизма, а также ввоз, издание, изготовление и (или) распространение экстремистских материалов.</w:t>
      </w:r>
    </w:p>
    <w:p w:rsidR="00EF2B10" w:rsidRDefault="00442D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 w:hint="cs"/>
          <w:sz w:val="28"/>
          <w:szCs w:val="28"/>
        </w:rPr>
        <w:t>Информационные материалы, ввозимые, издаваемые, изготавливаемые и (или) распространяемые  на территории Республики Казахстан и содержащие признаки экстремизма, по заявлению прокурора признаются судом экстремистскими  по местонахождению прокурора, заявившего такие требования, или по месту обнаружения таких материалов с запрещением их ввоза, издания, изготовления и (или) распространения.</w:t>
      </w:r>
    </w:p>
    <w:p w:rsidR="00EF2B10" w:rsidRDefault="00442D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u w:val="single"/>
        </w:rPr>
      </w:pPr>
      <w:r>
        <w:rPr>
          <w:rFonts w:ascii="Times New Roman" w:eastAsia="Times New Roman" w:hAnsi="Times New Roman" w:cs="Times New Roman" w:hint="cs"/>
          <w:sz w:val="28"/>
          <w:szCs w:val="28"/>
        </w:rPr>
        <w:t xml:space="preserve">Судом установлено, что вышеуказанная книга, игнорируя указанные требования законодательных актов, распространяет  информацию, содержащую признаки пропаганды терроризма и </w:t>
      </w:r>
      <w:r>
        <w:rPr>
          <w:rFonts w:ascii="Times New Roman" w:eastAsia="Times New Roman" w:hAnsi="Times New Roman" w:cs="Times New Roman" w:hint="cs"/>
          <w:sz w:val="28"/>
          <w:szCs w:val="28"/>
          <w:lang w:val="kk-KZ"/>
        </w:rPr>
        <w:t xml:space="preserve">религиозного </w:t>
      </w:r>
      <w:r>
        <w:rPr>
          <w:rFonts w:ascii="Times New Roman" w:eastAsia="Times New Roman" w:hAnsi="Times New Roman" w:cs="Times New Roman" w:hint="cs"/>
          <w:sz w:val="28"/>
          <w:szCs w:val="28"/>
        </w:rPr>
        <w:t xml:space="preserve">экстремизма,  подрыва безопасности государства и разжигания межнациональной розни,  религиозной вражды, содержат высказывания о превосходстве христианской и неполноценности исламской религий.         </w:t>
      </w:r>
    </w:p>
    <w:p w:rsidR="00EF2B10" w:rsidRDefault="00442D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 w:hint="cs"/>
          <w:sz w:val="28"/>
          <w:szCs w:val="28"/>
        </w:rPr>
        <w:t xml:space="preserve"> </w:t>
      </w:r>
      <w:proofErr w:type="gramStart"/>
      <w:r>
        <w:rPr>
          <w:rFonts w:ascii="Times New Roman" w:eastAsia="Times New Roman" w:hAnsi="Times New Roman" w:cs="Times New Roman" w:hint="cs"/>
          <w:sz w:val="28"/>
          <w:szCs w:val="28"/>
        </w:rPr>
        <w:t>Согласно ст.378 ГПК РК, суд, признав организацию экстремистской или террористической и (или) информационные материалы, ввозимые, издаваемые, изготавливаемые и (или) распространяемые на территории Республики Казахстан, экстремистскими или террористическими, выносит решение о запрещении деятельности и ликвидации организации и (или) запрещении ввоза, издания, изготовления и (или) распространения информационных материалов на территории Республики Казахстан, а также о конфискации и обращении в доход государства</w:t>
      </w:r>
      <w:proofErr w:type="gramEnd"/>
      <w:r>
        <w:rPr>
          <w:rFonts w:ascii="Times New Roman" w:eastAsia="Times New Roman" w:hAnsi="Times New Roman" w:cs="Times New Roman" w:hint="cs"/>
          <w:sz w:val="28"/>
          <w:szCs w:val="28"/>
        </w:rPr>
        <w:t xml:space="preserve"> имущества организации.    </w:t>
      </w:r>
      <w:proofErr w:type="gramStart"/>
      <w:r>
        <w:rPr>
          <w:rFonts w:ascii="Times New Roman" w:eastAsia="Times New Roman" w:hAnsi="Times New Roman" w:cs="Times New Roman" w:hint="cs"/>
          <w:sz w:val="28"/>
          <w:szCs w:val="28"/>
        </w:rPr>
        <w:t>Решение суда о признании организации, осуществляющей экстремизм или террористическую деятельность на территории Республики Казахстан и (или) другого государства, экстремистской или террористической, в том числе об установлении изменения ею своего наименования, а также о признании информационных материалов, ввозимых, издаваемых, изготавливаемых и (или) распространяемых на территории Республики Казахстан, экстремистскими или террористическими, служит основанием для включения сведений об этом в систему  специальных учетов</w:t>
      </w:r>
      <w:proofErr w:type="gramEnd"/>
      <w:r>
        <w:rPr>
          <w:rFonts w:ascii="Times New Roman" w:eastAsia="Times New Roman" w:hAnsi="Times New Roman" w:cs="Times New Roman" w:hint="cs"/>
          <w:sz w:val="28"/>
          <w:szCs w:val="28"/>
        </w:rPr>
        <w:t xml:space="preserve"> государственного органа, осуществляющего в пределах своей компетенции статистическую деятельность в области правовой статистики и специальных учетов.</w:t>
      </w:r>
    </w:p>
    <w:p w:rsidR="00EF2B10" w:rsidRDefault="00442DE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 w:hint="cs"/>
          <w:sz w:val="28"/>
          <w:szCs w:val="28"/>
        </w:rPr>
        <w:t xml:space="preserve">   В </w:t>
      </w:r>
      <w:r>
        <w:rPr>
          <w:rFonts w:ascii="Times New Roman" w:hAnsi="Times New Roman" w:cs="Times New Roman" w:hint="cs"/>
          <w:bCs/>
          <w:sz w:val="28"/>
          <w:szCs w:val="28"/>
        </w:rPr>
        <w:t xml:space="preserve"> соответствии с п.8 ст.243 ГПК РК,  н</w:t>
      </w:r>
      <w:r>
        <w:rPr>
          <w:rFonts w:ascii="Times New Roman" w:hAnsi="Times New Roman" w:cs="Times New Roman" w:hint="cs"/>
          <w:sz w:val="28"/>
          <w:szCs w:val="28"/>
        </w:rPr>
        <w:t>емедленному исполнению подлежит решение о признании информационных материалов, ввозимых, издаваемых, изготавливаемых и (или) распространяемых на территории Республики Казахстан, экстремистскими или террористическими;</w:t>
      </w:r>
      <w:r>
        <w:rPr>
          <w:rFonts w:ascii="Times New Roman" w:hAnsi="Times New Roman" w:cs="Times New Roman" w:hint="cs"/>
          <w:sz w:val="28"/>
          <w:szCs w:val="28"/>
        </w:rPr>
        <w:br/>
      </w:r>
      <w:r>
        <w:rPr>
          <w:rFonts w:ascii="Times New Roman" w:eastAsia="Times New Roman" w:hAnsi="Times New Roman" w:cs="Times New Roman" w:hint="cs"/>
          <w:sz w:val="28"/>
          <w:szCs w:val="28"/>
        </w:rPr>
        <w:t xml:space="preserve">            На основании изложенного, руководствуясь </w:t>
      </w:r>
      <w:r>
        <w:rPr>
          <w:rFonts w:ascii="Times New Roman" w:hAnsi="Times New Roman" w:cs="Times New Roman" w:hint="cs"/>
          <w:sz w:val="28"/>
          <w:szCs w:val="28"/>
        </w:rPr>
        <w:t xml:space="preserve"> гл.47 ГПК РК, в соответствии со статьями 223-226 ГПК</w:t>
      </w:r>
      <w:proofErr w:type="gramStart"/>
      <w:r>
        <w:rPr>
          <w:rFonts w:ascii="Times New Roman" w:hAnsi="Times New Roman" w:cs="Times New Roman" w:hint="cs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 w:hint="cs"/>
          <w:sz w:val="28"/>
          <w:szCs w:val="28"/>
        </w:rPr>
        <w:t xml:space="preserve"> суд</w:t>
      </w:r>
      <w:r>
        <w:rPr>
          <w:rFonts w:ascii="Times New Roman" w:eastAsia="Times New Roman" w:hAnsi="Times New Roman" w:cs="Times New Roman" w:hint="cs"/>
          <w:sz w:val="28"/>
          <w:szCs w:val="28"/>
        </w:rPr>
        <w:t xml:space="preserve">  </w:t>
      </w:r>
    </w:p>
    <w:p w:rsidR="00EF2B10" w:rsidRDefault="00EF2B10">
      <w:pPr>
        <w:spacing w:after="0" w:line="240" w:lineRule="auto"/>
        <w:ind w:firstLine="709"/>
        <w:jc w:val="both"/>
        <w:rPr>
          <w:rFonts w:ascii="Times New Roman" w:eastAsia="Meiryo" w:hAnsi="Times New Roman" w:cs="Times New Roman"/>
          <w:sz w:val="28"/>
        </w:rPr>
      </w:pPr>
    </w:p>
    <w:p w:rsidR="00EF2B10" w:rsidRDefault="00B17945" w:rsidP="00DB5A57">
      <w:pPr>
        <w:spacing w:after="0" w:line="240" w:lineRule="auto"/>
        <w:ind w:left="426"/>
        <w:rPr>
          <w:rFonts w:ascii="Times New Roman" w:hAnsi="Times New Roman" w:cs="Times New Roman"/>
          <w:sz w:val="28"/>
        </w:rPr>
      </w:pPr>
      <w:bookmarkStart w:id="0" w:name="_GoBack"/>
      <w:bookmarkEnd w:id="0"/>
      <w:r>
        <w:rPr>
          <w:rFonts w:ascii="Times New Roman" w:hAnsi="Times New Roman" w:cs="Times New Roman"/>
          <w:noProof/>
          <w:sz w:val="28"/>
          <w:lang w:eastAsia="ru-RU"/>
        </w:rPr>
        <w:lastRenderedPageBreak/>
        <w:drawing>
          <wp:inline distT="0" distB="0" distL="0" distR="0">
            <wp:extent cx="6228080" cy="8808733"/>
            <wp:effectExtent l="0" t="0" r="1270" b="0"/>
            <wp:docPr id="1" name="Рисунок 1" descr="C:\Users\7175213\Documents\My Received Files\Литовник О.В. (вн 228)\Сканировать3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7175213\Documents\My Received Files\Литовник О.В. (вн 228)\Сканировать3000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8080" cy="8808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F2B10">
      <w:headerReference w:type="default" r:id="rId8"/>
      <w:pgSz w:w="11906" w:h="16838"/>
      <w:pgMar w:top="1134" w:right="680" w:bottom="1134" w:left="1418" w:header="720" w:footer="72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357D3" w:rsidRDefault="007357D3">
      <w:pPr>
        <w:spacing w:after="0" w:line="240" w:lineRule="auto"/>
      </w:pPr>
      <w:r>
        <w:separator/>
      </w:r>
    </w:p>
  </w:endnote>
  <w:endnote w:type="continuationSeparator" w:id="0">
    <w:p w:rsidR="007357D3" w:rsidRDefault="007357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eiryo">
    <w:panose1 w:val="020B0604030504040204"/>
    <w:charset w:val="00"/>
    <w:family w:val="auto"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357D3" w:rsidRDefault="007357D3">
      <w:pPr>
        <w:spacing w:after="0" w:line="240" w:lineRule="auto"/>
      </w:pPr>
      <w:r>
        <w:separator/>
      </w:r>
    </w:p>
  </w:footnote>
  <w:footnote w:type="continuationSeparator" w:id="0">
    <w:p w:rsidR="007357D3" w:rsidRDefault="007357D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F2B10" w:rsidRDefault="007357D3"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3073" type="#_x0000_t75" style="position:absolute;margin-left:120pt;margin-top:350pt;width:400pt;height:390pt;z-index:-251658240;mso-position-horizontal-relative:page;mso-position-vertical-relative:page">
          <v:imagedata r:id="rId1" o:title=""/>
          <w10:wrap anchorx="page" anchory="page"/>
        </v:shape>
      </w:pict>
    </w:r>
    <w:r>
      <w:pict>
        <v:shape id="_x0000_s3074" type="#_x0000_t75" style="position:absolute;margin-left:5pt;margin-top:50pt;width:25pt;height:600pt;z-index:-251657216;mso-position-horizontal-relative:page;mso-position-vertical-relative:page">
          <v:imagedata r:id="rId2" o:title=""/>
          <w10:wrap anchorx="page" anchory="page"/>
        </v:shape>
      </w:pict>
    </w:r>
    <w:r>
      <w:pict>
        <v:shape id="_x0000_s3075" type="#_x0000_t75" style="position:absolute;margin-left:570pt;margin-top:250pt;width:25pt;height:400pt;z-index:-251656192;mso-position-horizontal-relative:page;mso-position-vertical-relative:page">
          <v:imagedata r:id="rId2" o:title=""/>
          <w10:wrap anchorx="page" anchory="page"/>
        </v:shape>
      </w:pict>
    </w:r>
    <w:r>
      <w:pict>
        <v:shape id="_x0000_s3076" type="#_x0000_t75" style="position:absolute;margin-left:7pt;margin-top:750pt;width:40pt;height:40pt;z-index:-251655168;mso-position-horizontal-relative:page;mso-position-vertical-relative:page">
          <v:imagedata r:id="rId3" o:title=""/>
          <w10:wrap anchorx="page" anchory="page"/>
        </v:shape>
      </w:pict>
    </w:r>
    <w:r>
      <w:pict>
        <v:shape id="_x0000_s3077" type="#_x0000_t75" style="position:absolute;margin-left:11pt;margin-top:790pt;width:200pt;height:25pt;z-index:-251654144;mso-position-horizontal-relative:page;mso-position-vertical-relative:page">
          <v:imagedata r:id="rId4" o:title=""/>
          <w10:wrap anchorx="page" anchory="page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3078"/>
    <o:shapelayout v:ext="edit">
      <o:idmap v:ext="edit" data="2,3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2B10"/>
    <w:rsid w:val="001735C3"/>
    <w:rsid w:val="00442DED"/>
    <w:rsid w:val="00496614"/>
    <w:rsid w:val="007357D3"/>
    <w:rsid w:val="00B17945"/>
    <w:rsid w:val="00DB5A57"/>
    <w:rsid w:val="00EF2B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color w:val="000000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Текст1"/>
    <w:basedOn w:val="a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customStyle="1" w:styleId="31">
    <w:name w:val="Заголовок 31"/>
    <w:basedOn w:val="a"/>
    <w:next w:val="a"/>
    <w:semiHidden/>
    <w:unhideWhenUsed/>
    <w:qFormat/>
    <w:pPr>
      <w:keepNext/>
      <w:spacing w:before="240" w:after="60" w:line="240" w:lineRule="auto"/>
    </w:pPr>
    <w:rPr>
      <w:rFonts w:ascii="Arial" w:eastAsia="Times New Roman" w:hAnsi="Arial" w:cs="Arial"/>
      <w:b/>
      <w:bCs/>
      <w:sz w:val="26"/>
      <w:szCs w:val="26"/>
      <w:lang w:eastAsia="ar-SA"/>
    </w:rPr>
  </w:style>
  <w:style w:type="paragraph" w:customStyle="1" w:styleId="6">
    <w:name w:val="Основной текст6"/>
    <w:basedOn w:val="a"/>
    <w:pPr>
      <w:shd w:val="clear" w:color="auto" w:fill="FFFFFF"/>
      <w:spacing w:before="300" w:after="0" w:line="274" w:lineRule="exact"/>
      <w:jc w:val="both"/>
    </w:pPr>
    <w:rPr>
      <w:rFonts w:ascii="Arial" w:eastAsia="Arial" w:hAnsi="Arial" w:cs="Arial"/>
      <w:sz w:val="21"/>
      <w:szCs w:val="21"/>
    </w:rPr>
  </w:style>
  <w:style w:type="paragraph" w:customStyle="1" w:styleId="11">
    <w:name w:val="Заголовок 11"/>
    <w:basedOn w:val="a"/>
    <w:next w:val="a"/>
    <w:uiPriority w:val="9"/>
    <w:qFormat/>
    <w:pPr>
      <w:keepNext/>
      <w:keepLines/>
      <w:spacing w:before="480" w:after="0"/>
    </w:pPr>
    <w:rPr>
      <w:b/>
      <w:sz w:val="48"/>
    </w:rPr>
  </w:style>
  <w:style w:type="paragraph" w:customStyle="1" w:styleId="21">
    <w:name w:val="Заголовок 21"/>
    <w:basedOn w:val="a"/>
    <w:next w:val="a"/>
    <w:uiPriority w:val="9"/>
    <w:unhideWhenUsed/>
    <w:qFormat/>
    <w:pPr>
      <w:keepNext/>
      <w:keepLines/>
      <w:spacing w:before="200" w:after="0"/>
    </w:pPr>
    <w:rPr>
      <w:b/>
      <w:sz w:val="40"/>
    </w:rPr>
  </w:style>
  <w:style w:type="paragraph" w:customStyle="1" w:styleId="41">
    <w:name w:val="Заголовок 41"/>
    <w:basedOn w:val="a"/>
    <w:next w:val="a"/>
    <w:uiPriority w:val="9"/>
    <w:unhideWhenUsed/>
    <w:qFormat/>
    <w:pPr>
      <w:keepNext/>
      <w:keepLines/>
      <w:spacing w:before="200" w:after="0"/>
    </w:pPr>
    <w:rPr>
      <w:color w:val="232323"/>
      <w:sz w:val="32"/>
    </w:rPr>
  </w:style>
  <w:style w:type="paragraph" w:customStyle="1" w:styleId="51">
    <w:name w:val="Заголовок 51"/>
    <w:basedOn w:val="a"/>
    <w:next w:val="a"/>
    <w:uiPriority w:val="9"/>
    <w:unhideWhenUsed/>
    <w:qFormat/>
    <w:pPr>
      <w:keepNext/>
      <w:keepLines/>
      <w:spacing w:before="200" w:after="0"/>
    </w:pPr>
    <w:rPr>
      <w:b/>
      <w:color w:val="444444"/>
      <w:sz w:val="28"/>
    </w:rPr>
  </w:style>
  <w:style w:type="paragraph" w:customStyle="1" w:styleId="61">
    <w:name w:val="Заголовок 61"/>
    <w:basedOn w:val="a"/>
    <w:next w:val="a"/>
    <w:uiPriority w:val="9"/>
    <w:unhideWhenUsed/>
    <w:qFormat/>
    <w:pPr>
      <w:keepNext/>
      <w:keepLines/>
      <w:spacing w:before="200" w:after="0"/>
    </w:pPr>
    <w:rPr>
      <w:i/>
      <w:color w:val="232323"/>
      <w:sz w:val="28"/>
    </w:rPr>
  </w:style>
  <w:style w:type="paragraph" w:customStyle="1" w:styleId="71">
    <w:name w:val="Заголовок 71"/>
    <w:basedOn w:val="a"/>
    <w:next w:val="a"/>
    <w:uiPriority w:val="9"/>
    <w:unhideWhenUsed/>
    <w:qFormat/>
    <w:pPr>
      <w:keepNext/>
      <w:keepLines/>
      <w:spacing w:before="200" w:after="0"/>
    </w:pPr>
    <w:rPr>
      <w:b/>
      <w:color w:val="606060"/>
      <w:sz w:val="24"/>
    </w:rPr>
  </w:style>
  <w:style w:type="paragraph" w:customStyle="1" w:styleId="81">
    <w:name w:val="Заголовок 81"/>
    <w:basedOn w:val="a"/>
    <w:next w:val="a"/>
    <w:uiPriority w:val="9"/>
    <w:unhideWhenUsed/>
    <w:qFormat/>
    <w:pPr>
      <w:keepNext/>
      <w:keepLines/>
      <w:spacing w:before="200" w:after="0"/>
    </w:pPr>
    <w:rPr>
      <w:color w:val="444444"/>
      <w:sz w:val="24"/>
    </w:rPr>
  </w:style>
  <w:style w:type="paragraph" w:customStyle="1" w:styleId="91">
    <w:name w:val="Заголовок 91"/>
    <w:basedOn w:val="a"/>
    <w:next w:val="a"/>
    <w:uiPriority w:val="9"/>
    <w:unhideWhenUsed/>
    <w:qFormat/>
    <w:pPr>
      <w:keepNext/>
      <w:keepLines/>
      <w:spacing w:before="200" w:after="0"/>
    </w:pPr>
    <w:rPr>
      <w:i/>
      <w:color w:val="444444"/>
      <w:sz w:val="23"/>
    </w:rPr>
  </w:style>
  <w:style w:type="paragraph" w:styleId="a3">
    <w:name w:val="List Paragraph"/>
    <w:basedOn w:val="a"/>
    <w:uiPriority w:val="34"/>
    <w:qFormat/>
    <w:pPr>
      <w:ind w:left="720"/>
      <w:contextualSpacing/>
    </w:pPr>
  </w:style>
  <w:style w:type="paragraph" w:styleId="a4">
    <w:name w:val="Title"/>
    <w:basedOn w:val="a"/>
    <w:next w:val="a"/>
    <w:uiPriority w:val="10"/>
    <w:qFormat/>
    <w:pPr>
      <w:pBdr>
        <w:bottom w:val="single" w:sz="24" w:space="0" w:color="000000"/>
      </w:pBdr>
      <w:spacing w:before="300" w:after="80" w:line="240" w:lineRule="auto"/>
    </w:pPr>
    <w:rPr>
      <w:b/>
      <w:sz w:val="72"/>
    </w:rPr>
  </w:style>
  <w:style w:type="paragraph" w:styleId="a5">
    <w:name w:val="Subtitle"/>
    <w:basedOn w:val="a"/>
    <w:next w:val="a"/>
    <w:uiPriority w:val="11"/>
    <w:qFormat/>
    <w:pPr>
      <w:spacing w:line="240" w:lineRule="auto"/>
    </w:pPr>
    <w:rPr>
      <w:i/>
      <w:color w:val="444444"/>
      <w:sz w:val="52"/>
    </w:rPr>
  </w:style>
  <w:style w:type="paragraph" w:styleId="2">
    <w:name w:val="Quote"/>
    <w:basedOn w:val="a"/>
    <w:next w:val="a"/>
    <w:uiPriority w:val="29"/>
    <w:qFormat/>
    <w:pPr>
      <w:pBdr>
        <w:left w:val="single" w:sz="12" w:space="11" w:color="A6A6A6"/>
        <w:bottom w:val="single" w:sz="12" w:space="3" w:color="A6A6A6"/>
      </w:pBdr>
      <w:ind w:left="3402"/>
    </w:pPr>
    <w:rPr>
      <w:i/>
      <w:color w:val="373737"/>
      <w:sz w:val="18"/>
    </w:rPr>
  </w:style>
  <w:style w:type="paragraph" w:styleId="a6">
    <w:name w:val="Intense Quote"/>
    <w:basedOn w:val="a"/>
    <w:next w:val="a"/>
    <w:uiPriority w:val="30"/>
    <w:qFormat/>
    <w:pPr>
      <w:pBdr>
        <w:top w:val="single" w:sz="4" w:space="3" w:color="808080"/>
        <w:left w:val="single" w:sz="4" w:space="11" w:color="808080"/>
        <w:bottom w:val="single" w:sz="4" w:space="3" w:color="808080"/>
        <w:right w:val="single" w:sz="4" w:space="11" w:color="808080"/>
      </w:pBdr>
      <w:shd w:val="clear" w:color="auto" w:fill="D9D9D9"/>
      <w:ind w:left="567" w:right="567"/>
    </w:pPr>
    <w:rPr>
      <w:i/>
      <w:color w:val="606060"/>
      <w:sz w:val="19"/>
    </w:rPr>
  </w:style>
  <w:style w:type="paragraph" w:customStyle="1" w:styleId="10">
    <w:name w:val="Верхний колонтитул1"/>
    <w:basedOn w:val="a"/>
    <w:uiPriority w:val="99"/>
    <w:unhideWhenUsed/>
    <w:pPr>
      <w:tabs>
        <w:tab w:val="center" w:pos="4677"/>
        <w:tab w:val="right" w:pos="9354"/>
      </w:tabs>
      <w:spacing w:after="0" w:line="240" w:lineRule="auto"/>
    </w:pPr>
  </w:style>
  <w:style w:type="paragraph" w:customStyle="1" w:styleId="12">
    <w:name w:val="Нижний колонтитул1"/>
    <w:basedOn w:val="a"/>
    <w:uiPriority w:val="99"/>
    <w:unhideWhenUsed/>
    <w:pPr>
      <w:tabs>
        <w:tab w:val="center" w:pos="4677"/>
        <w:tab w:val="right" w:pos="9354"/>
      </w:tabs>
      <w:spacing w:after="0" w:line="240" w:lineRule="auto"/>
    </w:pPr>
  </w:style>
  <w:style w:type="table" w:customStyle="1" w:styleId="Lined">
    <w:name w:val="Lined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" w:type="dxa"/>
        <w:bottom w:w="0" w:type="dxa"/>
        <w:right w:w="1" w:type="dxa"/>
      </w:tblCellMar>
    </w:tblPr>
    <w:tblStylePr w:type="firstRow">
      <w:tblPr/>
      <w:tcPr>
        <w:shd w:val="clear" w:color="auto" w:fill="A6A6A6"/>
      </w:tcPr>
    </w:tblStylePr>
    <w:tblStylePr w:type="lastRow">
      <w:tblPr/>
      <w:tcPr>
        <w:shd w:val="clear" w:color="auto" w:fill="A6A6A6"/>
      </w:tcPr>
    </w:tblStylePr>
    <w:tblStylePr w:type="firstCol">
      <w:tblPr/>
      <w:tcPr>
        <w:shd w:val="clear" w:color="auto" w:fill="A6A6A6"/>
      </w:tcPr>
    </w:tblStylePr>
    <w:tblStylePr w:type="lastCol">
      <w:tblPr/>
      <w:tcPr>
        <w:shd w:val="clear" w:color="auto" w:fill="A6A6A6"/>
      </w:tcPr>
    </w:tblStylePr>
    <w:tblStylePr w:type="band2Vert">
      <w:tblPr/>
      <w:tcPr>
        <w:shd w:val="clear" w:color="auto" w:fill="D9D9D9"/>
      </w:tcPr>
    </w:tblStylePr>
    <w:tblStylePr w:type="band2Horz">
      <w:tblPr/>
      <w:tcPr>
        <w:shd w:val="clear" w:color="auto" w:fill="D9D9D9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" w:type="dxa"/>
        <w:bottom w:w="0" w:type="dxa"/>
        <w:right w:w="1" w:type="dxa"/>
      </w:tblCellMar>
    </w:tblPr>
    <w:tblStylePr w:type="firstRow">
      <w:tblPr/>
      <w:tcPr>
        <w:shd w:val="clear" w:color="auto" w:fill="95B3D7"/>
      </w:tcPr>
    </w:tblStylePr>
    <w:tblStylePr w:type="lastRow">
      <w:tblPr/>
      <w:tcPr>
        <w:shd w:val="clear" w:color="auto" w:fill="95B3D7"/>
      </w:tcPr>
    </w:tblStylePr>
    <w:tblStylePr w:type="firstCol">
      <w:tblPr/>
      <w:tcPr>
        <w:shd w:val="clear" w:color="auto" w:fill="95B3D7"/>
      </w:tcPr>
    </w:tblStylePr>
    <w:tblStylePr w:type="lastCol">
      <w:tblPr/>
      <w:tcPr>
        <w:shd w:val="clear" w:color="auto" w:fill="95B3D7"/>
      </w:tcPr>
    </w:tblStylePr>
    <w:tblStylePr w:type="band2Vert">
      <w:tblPr/>
      <w:tcPr>
        <w:shd w:val="clear" w:color="auto" w:fill="DBE5F1"/>
      </w:tcPr>
    </w:tblStylePr>
    <w:tblStylePr w:type="band2Horz">
      <w:tblPr/>
      <w:tcPr>
        <w:shd w:val="clear" w:color="auto" w:fill="DBE5F1"/>
      </w:tcPr>
    </w:tblStylePr>
  </w:style>
  <w:style w:type="character" w:customStyle="1" w:styleId="3">
    <w:name w:val="Заголовок 3 Знак"/>
    <w:basedOn w:val="a0"/>
    <w:semiHidden/>
    <w:rPr>
      <w:rFonts w:ascii="Arial" w:eastAsia="Times New Roman" w:hAnsi="Arial" w:cs="Arial" w:hint="default"/>
      <w:b/>
      <w:bCs/>
      <w:sz w:val="26"/>
      <w:szCs w:val="26"/>
      <w:lang w:eastAsia="ar-SA"/>
    </w:r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" w:type="dxa"/>
        <w:bottom w:w="0" w:type="dxa"/>
        <w:right w:w="1" w:type="dxa"/>
      </w:tblCellMar>
    </w:tblPr>
    <w:tblStylePr w:type="firstRow">
      <w:tblPr/>
      <w:tcPr>
        <w:shd w:val="clear" w:color="auto" w:fill="C2D69B"/>
      </w:tcPr>
    </w:tblStylePr>
    <w:tblStylePr w:type="lastRow">
      <w:tblPr/>
      <w:tcPr>
        <w:shd w:val="clear" w:color="auto" w:fill="C2D69B"/>
      </w:tcPr>
    </w:tblStylePr>
    <w:tblStylePr w:type="firstCol">
      <w:tblPr/>
      <w:tcPr>
        <w:shd w:val="clear" w:color="auto" w:fill="C2D69B"/>
      </w:tcPr>
    </w:tblStylePr>
    <w:tblStylePr w:type="lastCol">
      <w:tblPr/>
      <w:tcPr>
        <w:shd w:val="clear" w:color="auto" w:fill="C2D69B"/>
      </w:tcPr>
    </w:tblStylePr>
    <w:tblStylePr w:type="band2Vert">
      <w:tblPr/>
      <w:tcPr>
        <w:shd w:val="clear" w:color="auto" w:fill="EAF1DD"/>
      </w:tcPr>
    </w:tblStylePr>
    <w:tblStylePr w:type="band2Horz">
      <w:tblPr/>
      <w:tcPr>
        <w:shd w:val="clear" w:color="auto" w:fill="EAF1DD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" w:type="dxa"/>
        <w:bottom w:w="0" w:type="dxa"/>
        <w:right w:w="1" w:type="dxa"/>
      </w:tblCellMar>
    </w:tblPr>
    <w:tblStylePr w:type="firstRow">
      <w:tblPr/>
      <w:tcPr>
        <w:shd w:val="clear" w:color="auto" w:fill="B2A1C7"/>
      </w:tcPr>
    </w:tblStylePr>
    <w:tblStylePr w:type="lastRow">
      <w:tblPr/>
      <w:tcPr>
        <w:shd w:val="clear" w:color="auto" w:fill="B2A1C7"/>
      </w:tcPr>
    </w:tblStylePr>
    <w:tblStylePr w:type="firstCol">
      <w:tblPr/>
      <w:tcPr>
        <w:shd w:val="clear" w:color="auto" w:fill="B2A1C7"/>
      </w:tcPr>
    </w:tblStylePr>
    <w:tblStylePr w:type="lastCol">
      <w:tblPr/>
      <w:tcPr>
        <w:shd w:val="clear" w:color="auto" w:fill="B2A1C7"/>
      </w:tcPr>
    </w:tblStylePr>
    <w:tblStylePr w:type="band2Vert">
      <w:tblPr/>
      <w:tcPr>
        <w:shd w:val="clear" w:color="auto" w:fill="E5DFEC"/>
      </w:tcPr>
    </w:tblStylePr>
    <w:tblStylePr w:type="band2Horz">
      <w:tblPr/>
      <w:tcPr>
        <w:shd w:val="clear" w:color="auto" w:fill="E5DFEC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" w:type="dxa"/>
        <w:bottom w:w="0" w:type="dxa"/>
        <w:right w:w="1" w:type="dxa"/>
      </w:tblCellMar>
    </w:tblPr>
    <w:tblStylePr w:type="firstRow">
      <w:tblPr/>
      <w:tcPr>
        <w:shd w:val="clear" w:color="auto" w:fill="92CDDC"/>
      </w:tcPr>
    </w:tblStylePr>
    <w:tblStylePr w:type="lastRow">
      <w:tblPr/>
      <w:tcPr>
        <w:shd w:val="clear" w:color="auto" w:fill="92CDDC"/>
      </w:tcPr>
    </w:tblStylePr>
    <w:tblStylePr w:type="firstCol">
      <w:tblPr/>
      <w:tcPr>
        <w:shd w:val="clear" w:color="auto" w:fill="92CDDC"/>
      </w:tcPr>
    </w:tblStylePr>
    <w:tblStylePr w:type="lastCol">
      <w:tblPr/>
      <w:tcPr>
        <w:shd w:val="clear" w:color="auto" w:fill="92CDDC"/>
      </w:tcPr>
    </w:tblStylePr>
    <w:tblStylePr w:type="band2Vert">
      <w:tblPr/>
      <w:tcPr>
        <w:shd w:val="clear" w:color="auto" w:fill="DAEEF3"/>
      </w:tcPr>
    </w:tblStylePr>
    <w:tblStylePr w:type="band2Horz">
      <w:tblPr/>
      <w:tcPr>
        <w:shd w:val="clear" w:color="auto" w:fill="DAEEF3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" w:type="dxa"/>
        <w:bottom w:w="0" w:type="dxa"/>
        <w:right w:w="1" w:type="dxa"/>
      </w:tblCellMar>
    </w:tblPr>
    <w:tblStylePr w:type="firstRow">
      <w:tblPr/>
      <w:tcPr>
        <w:shd w:val="clear" w:color="auto" w:fill="FABF8F"/>
      </w:tcPr>
    </w:tblStylePr>
    <w:tblStylePr w:type="lastRow">
      <w:tblPr/>
      <w:tcPr>
        <w:shd w:val="clear" w:color="auto" w:fill="FABF8F"/>
      </w:tcPr>
    </w:tblStylePr>
    <w:tblStylePr w:type="firstCol">
      <w:tblPr/>
      <w:tcPr>
        <w:shd w:val="clear" w:color="auto" w:fill="FABF8F"/>
      </w:tcPr>
    </w:tblStylePr>
    <w:tblStylePr w:type="lastCol">
      <w:tblPr/>
      <w:tcPr>
        <w:shd w:val="clear" w:color="auto" w:fill="FABF8F"/>
      </w:tcPr>
    </w:tblStylePr>
    <w:tblStylePr w:type="band2Vert">
      <w:tblPr/>
      <w:tcPr>
        <w:shd w:val="clear" w:color="auto" w:fill="FDE9E9"/>
      </w:tcPr>
    </w:tblStylePr>
    <w:tblStylePr w:type="band2Horz">
      <w:tblPr/>
      <w:tcPr>
        <w:shd w:val="clear" w:color="auto" w:fill="FDE9E9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  <w:tblCellMar>
        <w:top w:w="0" w:type="dxa"/>
        <w:left w:w="1" w:type="dxa"/>
        <w:bottom w:w="0" w:type="dxa"/>
        <w:right w:w="1" w:type="dxa"/>
      </w:tblCellMar>
    </w:tblPr>
    <w:tblStylePr w:type="firstRow">
      <w:tblPr/>
      <w:tcPr>
        <w:tcBorders>
          <w:bottom w:val="single" w:sz="18" w:space="0" w:color="000000"/>
        </w:tcBorders>
      </w:tcPr>
    </w:tblStylePr>
    <w:tblStylePr w:type="lastRow">
      <w:tblPr/>
      <w:tcPr>
        <w:tcBorders>
          <w:top w:val="single" w:sz="18" w:space="0" w:color="000000"/>
        </w:tcBorders>
      </w:tcPr>
    </w:tblStylePr>
    <w:tblStylePr w:type="firstCol">
      <w:tblPr/>
      <w:tcPr>
        <w:tcBorders>
          <w:right w:val="single" w:sz="18" w:space="0" w:color="000000"/>
        </w:tcBorders>
      </w:tcPr>
    </w:tblStylePr>
    <w:tblStylePr w:type="lastCol">
      <w:tblPr/>
      <w:tcPr>
        <w:tcBorders>
          <w:left w:val="single" w:sz="18" w:space="0" w:color="000000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8CCE4"/>
        <w:left w:val="single" w:sz="4" w:space="0" w:color="B8CCE4"/>
        <w:bottom w:val="single" w:sz="4" w:space="0" w:color="B8CCE4"/>
        <w:right w:val="single" w:sz="4" w:space="0" w:color="B8CCE4"/>
        <w:insideH w:val="single" w:sz="4" w:space="0" w:color="B8CCE4"/>
        <w:insideV w:val="single" w:sz="4" w:space="0" w:color="B8CCE4"/>
      </w:tblBorders>
      <w:tblCellMar>
        <w:top w:w="0" w:type="dxa"/>
        <w:left w:w="1" w:type="dxa"/>
        <w:bottom w:w="0" w:type="dxa"/>
        <w:right w:w="1" w:type="dxa"/>
      </w:tblCellMar>
    </w:tblPr>
    <w:tblStylePr w:type="firstRow">
      <w:tblPr/>
      <w:tcPr>
        <w:tcBorders>
          <w:bottom w:val="single" w:sz="18" w:space="0" w:color="365F91"/>
        </w:tcBorders>
      </w:tcPr>
    </w:tblStylePr>
    <w:tblStylePr w:type="lastRow">
      <w:tblPr/>
      <w:tcPr>
        <w:tcBorders>
          <w:top w:val="single" w:sz="18" w:space="0" w:color="365F91"/>
        </w:tcBorders>
      </w:tcPr>
    </w:tblStylePr>
    <w:tblStylePr w:type="firstCol">
      <w:tblPr/>
      <w:tcPr>
        <w:tcBorders>
          <w:right w:val="single" w:sz="18" w:space="0" w:color="365F91"/>
        </w:tcBorders>
      </w:tcPr>
    </w:tblStylePr>
    <w:tblStylePr w:type="lastCol">
      <w:tblPr/>
      <w:tcPr>
        <w:tcBorders>
          <w:left w:val="single" w:sz="18" w:space="0" w:color="365F91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5B8B7"/>
        <w:left w:val="single" w:sz="4" w:space="0" w:color="E5B8B7"/>
        <w:bottom w:val="single" w:sz="4" w:space="0" w:color="E5B8B7"/>
        <w:right w:val="single" w:sz="4" w:space="0" w:color="E5B8B7"/>
        <w:insideH w:val="single" w:sz="4" w:space="0" w:color="E5B8B7"/>
        <w:insideV w:val="single" w:sz="4" w:space="0" w:color="E5B8B7"/>
      </w:tblBorders>
      <w:tblCellMar>
        <w:top w:w="0" w:type="dxa"/>
        <w:left w:w="1" w:type="dxa"/>
        <w:bottom w:w="0" w:type="dxa"/>
        <w:right w:w="1" w:type="dxa"/>
      </w:tblCellMar>
    </w:tblPr>
    <w:tblStylePr w:type="firstRow">
      <w:tblPr/>
      <w:tcPr>
        <w:tcBorders>
          <w:bottom w:val="single" w:sz="18" w:space="0" w:color="943634"/>
        </w:tcBorders>
      </w:tcPr>
    </w:tblStylePr>
    <w:tblStylePr w:type="lastRow">
      <w:tblPr/>
      <w:tcPr>
        <w:tcBorders>
          <w:top w:val="single" w:sz="18" w:space="0" w:color="943634"/>
        </w:tcBorders>
      </w:tcPr>
    </w:tblStylePr>
    <w:tblStylePr w:type="firstCol">
      <w:tblPr/>
      <w:tcPr>
        <w:tcBorders>
          <w:right w:val="single" w:sz="18" w:space="0" w:color="943634"/>
        </w:tcBorders>
      </w:tcPr>
    </w:tblStylePr>
    <w:tblStylePr w:type="lastCol">
      <w:tblPr/>
      <w:tcPr>
        <w:tcBorders>
          <w:left w:val="single" w:sz="18" w:space="0" w:color="943634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6E3BC"/>
        <w:left w:val="single" w:sz="4" w:space="0" w:color="D6E3BC"/>
        <w:bottom w:val="single" w:sz="4" w:space="0" w:color="D6E3BC"/>
        <w:right w:val="single" w:sz="4" w:space="0" w:color="D6E3BC"/>
        <w:insideH w:val="single" w:sz="4" w:space="0" w:color="D6E3BC"/>
        <w:insideV w:val="single" w:sz="4" w:space="0" w:color="D6E3BC"/>
      </w:tblBorders>
      <w:tblCellMar>
        <w:top w:w="0" w:type="dxa"/>
        <w:left w:w="1" w:type="dxa"/>
        <w:bottom w:w="0" w:type="dxa"/>
        <w:right w:w="1" w:type="dxa"/>
      </w:tblCellMar>
    </w:tblPr>
    <w:tblStylePr w:type="firstRow">
      <w:tblPr/>
      <w:tcPr>
        <w:tcBorders>
          <w:bottom w:val="single" w:sz="18" w:space="0" w:color="76923C"/>
        </w:tcBorders>
      </w:tcPr>
    </w:tblStylePr>
    <w:tblStylePr w:type="lastRow">
      <w:tblPr/>
      <w:tcPr>
        <w:tcBorders>
          <w:top w:val="single" w:sz="18" w:space="0" w:color="76923C"/>
        </w:tcBorders>
      </w:tcPr>
    </w:tblStylePr>
    <w:tblStylePr w:type="firstCol">
      <w:tblPr/>
      <w:tcPr>
        <w:tcBorders>
          <w:right w:val="single" w:sz="18" w:space="0" w:color="76923C"/>
        </w:tcBorders>
      </w:tcPr>
    </w:tblStylePr>
    <w:tblStylePr w:type="lastCol">
      <w:tblPr/>
      <w:tcPr>
        <w:tcBorders>
          <w:left w:val="single" w:sz="18" w:space="0" w:color="76923C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CC0D9"/>
        <w:left w:val="single" w:sz="4" w:space="0" w:color="CCC0D9"/>
        <w:bottom w:val="single" w:sz="4" w:space="0" w:color="CCC0D9"/>
        <w:right w:val="single" w:sz="4" w:space="0" w:color="CCC0D9"/>
        <w:insideH w:val="single" w:sz="4" w:space="0" w:color="CCC0D9"/>
        <w:insideV w:val="single" w:sz="4" w:space="0" w:color="CCC0D9"/>
      </w:tblBorders>
      <w:tblCellMar>
        <w:top w:w="0" w:type="dxa"/>
        <w:left w:w="1" w:type="dxa"/>
        <w:bottom w:w="0" w:type="dxa"/>
        <w:right w:w="1" w:type="dxa"/>
      </w:tblCellMar>
    </w:tblPr>
    <w:tblStylePr w:type="firstRow">
      <w:tblPr/>
      <w:tcPr>
        <w:tcBorders>
          <w:bottom w:val="single" w:sz="18" w:space="0" w:color="5F497A"/>
        </w:tcBorders>
      </w:tcPr>
    </w:tblStylePr>
    <w:tblStylePr w:type="lastRow">
      <w:tblPr/>
      <w:tcPr>
        <w:tcBorders>
          <w:top w:val="single" w:sz="18" w:space="0" w:color="5F497A"/>
        </w:tcBorders>
      </w:tcPr>
    </w:tblStylePr>
    <w:tblStylePr w:type="firstCol">
      <w:tblPr/>
      <w:tcPr>
        <w:tcBorders>
          <w:right w:val="single" w:sz="18" w:space="0" w:color="5F497A"/>
        </w:tcBorders>
      </w:tcPr>
    </w:tblStylePr>
    <w:tblStylePr w:type="lastCol">
      <w:tblPr/>
      <w:tcPr>
        <w:tcBorders>
          <w:left w:val="single" w:sz="18" w:space="0" w:color="5F497A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6DDE8"/>
        <w:left w:val="single" w:sz="4" w:space="0" w:color="B6DDE8"/>
        <w:bottom w:val="single" w:sz="4" w:space="0" w:color="B6DDE8"/>
        <w:right w:val="single" w:sz="4" w:space="0" w:color="B6DDE8"/>
        <w:insideH w:val="single" w:sz="4" w:space="0" w:color="B6DDE8"/>
        <w:insideV w:val="single" w:sz="4" w:space="0" w:color="B6DDE8"/>
      </w:tblBorders>
      <w:tblCellMar>
        <w:top w:w="0" w:type="dxa"/>
        <w:left w:w="1" w:type="dxa"/>
        <w:bottom w:w="0" w:type="dxa"/>
        <w:right w:w="1" w:type="dxa"/>
      </w:tblCellMar>
    </w:tblPr>
    <w:tblStylePr w:type="firstRow">
      <w:tblPr/>
      <w:tcPr>
        <w:tcBorders>
          <w:bottom w:val="single" w:sz="18" w:space="0" w:color="31849B"/>
        </w:tcBorders>
      </w:tcPr>
    </w:tblStylePr>
    <w:tblStylePr w:type="lastRow">
      <w:tblPr/>
      <w:tcPr>
        <w:tcBorders>
          <w:top w:val="single" w:sz="18" w:space="0" w:color="31849B"/>
        </w:tcBorders>
      </w:tcPr>
    </w:tblStylePr>
    <w:tblStylePr w:type="firstCol">
      <w:tblPr/>
      <w:tcPr>
        <w:tcBorders>
          <w:right w:val="single" w:sz="18" w:space="0" w:color="31849B"/>
        </w:tcBorders>
      </w:tcPr>
    </w:tblStylePr>
    <w:tblStylePr w:type="lastCol">
      <w:tblPr/>
      <w:tcPr>
        <w:tcBorders>
          <w:left w:val="single" w:sz="18" w:space="0" w:color="31849B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BD4B4"/>
        <w:left w:val="single" w:sz="4" w:space="0" w:color="FBD4B4"/>
        <w:bottom w:val="single" w:sz="4" w:space="0" w:color="FBD4B4"/>
        <w:right w:val="single" w:sz="4" w:space="0" w:color="FBD4B4"/>
        <w:insideH w:val="single" w:sz="4" w:space="0" w:color="FBD4B4"/>
        <w:insideV w:val="single" w:sz="4" w:space="0" w:color="FBD4B4"/>
      </w:tblBorders>
      <w:tblCellMar>
        <w:top w:w="0" w:type="dxa"/>
        <w:left w:w="1" w:type="dxa"/>
        <w:bottom w:w="0" w:type="dxa"/>
        <w:right w:w="1" w:type="dxa"/>
      </w:tblCellMar>
    </w:tblPr>
    <w:tblStylePr w:type="firstRow">
      <w:tblPr/>
      <w:tcPr>
        <w:tcBorders>
          <w:bottom w:val="single" w:sz="18" w:space="0" w:color="E36C0A"/>
        </w:tcBorders>
      </w:tcPr>
    </w:tblStylePr>
    <w:tblStylePr w:type="lastRow">
      <w:tblPr/>
      <w:tcPr>
        <w:tcBorders>
          <w:top w:val="single" w:sz="18" w:space="0" w:color="E36C0A"/>
        </w:tcBorders>
      </w:tcPr>
    </w:tblStylePr>
    <w:tblStylePr w:type="firstCol">
      <w:tblPr/>
      <w:tcPr>
        <w:tcBorders>
          <w:right w:val="single" w:sz="18" w:space="0" w:color="E36C0A"/>
        </w:tcBorders>
      </w:tcPr>
    </w:tblStylePr>
    <w:tblStylePr w:type="lastCol">
      <w:tblPr/>
      <w:tcPr>
        <w:tcBorders>
          <w:left w:val="single" w:sz="18" w:space="0" w:color="E36C0A"/>
        </w:tcBorders>
      </w:tcPr>
    </w:tblStylePr>
  </w:style>
  <w:style w:type="table" w:customStyle="1" w:styleId="BorderedLined">
    <w:name w:val="Bordered &amp; Lined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" w:type="dxa"/>
        <w:bottom w:w="0" w:type="dxa"/>
        <w:right w:w="1" w:type="dxa"/>
      </w:tblCellMar>
    </w:tblPr>
    <w:tblStylePr w:type="firstRow">
      <w:tblPr/>
      <w:tcPr>
        <w:shd w:val="clear" w:color="auto" w:fill="A6A6A6"/>
      </w:tcPr>
    </w:tblStylePr>
    <w:tblStylePr w:type="lastRow">
      <w:tblPr/>
      <w:tcPr>
        <w:shd w:val="clear" w:color="auto" w:fill="A6A6A6"/>
      </w:tcPr>
    </w:tblStylePr>
    <w:tblStylePr w:type="firstCol">
      <w:tblPr/>
      <w:tcPr>
        <w:shd w:val="clear" w:color="auto" w:fill="A6A6A6"/>
      </w:tcPr>
    </w:tblStylePr>
    <w:tblStylePr w:type="lastCol">
      <w:tblPr/>
      <w:tcPr>
        <w:shd w:val="clear" w:color="auto" w:fill="A6A6A6"/>
      </w:tcPr>
    </w:tblStylePr>
    <w:tblStylePr w:type="band2Vert">
      <w:tblPr/>
      <w:tcPr>
        <w:shd w:val="clear" w:color="auto" w:fill="D9D9D9"/>
      </w:tcPr>
    </w:tblStylePr>
    <w:tblStylePr w:type="band2Horz">
      <w:tblPr/>
      <w:tcPr>
        <w:shd w:val="clear" w:color="auto" w:fill="D9D9D9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17365D"/>
        <w:left w:val="single" w:sz="4" w:space="0" w:color="17365D"/>
        <w:bottom w:val="single" w:sz="4" w:space="0" w:color="17365D"/>
        <w:right w:val="single" w:sz="4" w:space="0" w:color="17365D"/>
        <w:insideH w:val="single" w:sz="4" w:space="0" w:color="17365D"/>
        <w:insideV w:val="single" w:sz="4" w:space="0" w:color="17365D"/>
      </w:tblBorders>
      <w:tblCellMar>
        <w:top w:w="0" w:type="dxa"/>
        <w:left w:w="1" w:type="dxa"/>
        <w:bottom w:w="0" w:type="dxa"/>
        <w:right w:w="1" w:type="dxa"/>
      </w:tblCellMar>
    </w:tblPr>
    <w:tblStylePr w:type="firstRow">
      <w:tblPr/>
      <w:tcPr>
        <w:shd w:val="clear" w:color="auto" w:fill="8DB3E2"/>
      </w:tcPr>
    </w:tblStylePr>
    <w:tblStylePr w:type="lastRow">
      <w:tblPr/>
      <w:tcPr>
        <w:shd w:val="clear" w:color="auto" w:fill="8DB3E2"/>
      </w:tcPr>
    </w:tblStylePr>
    <w:tblStylePr w:type="firstCol">
      <w:tblPr/>
      <w:tcPr>
        <w:shd w:val="clear" w:color="auto" w:fill="8DB3E2"/>
      </w:tcPr>
    </w:tblStylePr>
    <w:tblStylePr w:type="lastCol">
      <w:tblPr/>
      <w:tcPr>
        <w:shd w:val="clear" w:color="auto" w:fill="8DB3E2"/>
      </w:tcPr>
    </w:tblStylePr>
    <w:tblStylePr w:type="band2Vert">
      <w:tblPr/>
      <w:tcPr>
        <w:shd w:val="clear" w:color="auto" w:fill="DBE5F1"/>
      </w:tcPr>
    </w:tblStylePr>
    <w:tblStylePr w:type="band2Horz">
      <w:tblPr/>
      <w:tcPr>
        <w:shd w:val="clear" w:color="auto" w:fill="DBE5F1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43634"/>
        <w:left w:val="single" w:sz="4" w:space="0" w:color="943634"/>
        <w:bottom w:val="single" w:sz="4" w:space="0" w:color="943634"/>
        <w:right w:val="single" w:sz="4" w:space="0" w:color="943634"/>
        <w:insideH w:val="single" w:sz="4" w:space="0" w:color="943634"/>
        <w:insideV w:val="single" w:sz="4" w:space="0" w:color="943634"/>
      </w:tblBorders>
      <w:tblCellMar>
        <w:top w:w="0" w:type="dxa"/>
        <w:left w:w="1" w:type="dxa"/>
        <w:bottom w:w="0" w:type="dxa"/>
        <w:right w:w="1" w:type="dxa"/>
      </w:tblCellMar>
    </w:tblPr>
    <w:tblStylePr w:type="firstRow">
      <w:tblPr/>
      <w:tcPr>
        <w:shd w:val="clear" w:color="auto" w:fill="D99594"/>
      </w:tcPr>
    </w:tblStylePr>
    <w:tblStylePr w:type="lastRow">
      <w:tblPr/>
      <w:tcPr>
        <w:shd w:val="clear" w:color="auto" w:fill="D99594"/>
      </w:tcPr>
    </w:tblStylePr>
    <w:tblStylePr w:type="firstCol">
      <w:tblPr/>
      <w:tcPr>
        <w:shd w:val="clear" w:color="auto" w:fill="D99594"/>
      </w:tcPr>
    </w:tblStylePr>
    <w:tblStylePr w:type="lastCol">
      <w:tblPr/>
      <w:tcPr>
        <w:shd w:val="clear" w:color="auto" w:fill="D99594"/>
      </w:tcPr>
    </w:tblStylePr>
    <w:tblStylePr w:type="band2Vert">
      <w:tblPr/>
      <w:tcPr>
        <w:shd w:val="clear" w:color="auto" w:fill="F2DBDB"/>
      </w:tcPr>
    </w:tblStylePr>
    <w:tblStylePr w:type="band2Horz">
      <w:tblPr/>
      <w:tcPr>
        <w:shd w:val="clear" w:color="auto" w:fill="F2DBDB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6923C"/>
        <w:left w:val="single" w:sz="4" w:space="0" w:color="76923C"/>
        <w:bottom w:val="single" w:sz="4" w:space="0" w:color="76923C"/>
        <w:right w:val="single" w:sz="4" w:space="0" w:color="76923C"/>
        <w:insideH w:val="single" w:sz="4" w:space="0" w:color="76923C"/>
        <w:insideV w:val="single" w:sz="4" w:space="0" w:color="76923C"/>
      </w:tblBorders>
      <w:tblCellMar>
        <w:top w:w="0" w:type="dxa"/>
        <w:left w:w="1" w:type="dxa"/>
        <w:bottom w:w="0" w:type="dxa"/>
        <w:right w:w="1" w:type="dxa"/>
      </w:tblCellMar>
    </w:tblPr>
    <w:tblStylePr w:type="firstRow">
      <w:tblPr/>
      <w:tcPr>
        <w:shd w:val="clear" w:color="auto" w:fill="C2D69B"/>
      </w:tcPr>
    </w:tblStylePr>
    <w:tblStylePr w:type="lastRow">
      <w:tblPr/>
      <w:tcPr>
        <w:shd w:val="clear" w:color="auto" w:fill="C2D69B"/>
      </w:tcPr>
    </w:tblStylePr>
    <w:tblStylePr w:type="firstCol">
      <w:tblPr/>
      <w:tcPr>
        <w:shd w:val="clear" w:color="auto" w:fill="C2D69B"/>
      </w:tcPr>
    </w:tblStylePr>
    <w:tblStylePr w:type="lastCol">
      <w:tblPr/>
      <w:tcPr>
        <w:shd w:val="clear" w:color="auto" w:fill="C2D69B"/>
      </w:tcPr>
    </w:tblStylePr>
    <w:tblStylePr w:type="band2Vert">
      <w:tblPr/>
      <w:tcPr>
        <w:shd w:val="clear" w:color="auto" w:fill="EAF1DD"/>
      </w:tcPr>
    </w:tblStylePr>
    <w:tblStylePr w:type="band2Horz">
      <w:tblPr/>
      <w:tcPr>
        <w:shd w:val="clear" w:color="auto" w:fill="EAF1DD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5F497A"/>
        <w:left w:val="single" w:sz="4" w:space="0" w:color="5F497A"/>
        <w:bottom w:val="single" w:sz="4" w:space="0" w:color="5F497A"/>
        <w:right w:val="single" w:sz="4" w:space="0" w:color="5F497A"/>
        <w:insideH w:val="single" w:sz="4" w:space="0" w:color="5F497A"/>
        <w:insideV w:val="single" w:sz="4" w:space="0" w:color="5F497A"/>
      </w:tblBorders>
      <w:tblCellMar>
        <w:top w:w="0" w:type="dxa"/>
        <w:left w:w="1" w:type="dxa"/>
        <w:bottom w:w="0" w:type="dxa"/>
        <w:right w:w="1" w:type="dxa"/>
      </w:tblCellMar>
    </w:tblPr>
    <w:tblStylePr w:type="firstRow">
      <w:tblPr/>
      <w:tcPr>
        <w:shd w:val="clear" w:color="auto" w:fill="B2A1C7"/>
      </w:tcPr>
    </w:tblStylePr>
    <w:tblStylePr w:type="lastRow">
      <w:tblPr/>
      <w:tcPr>
        <w:shd w:val="clear" w:color="auto" w:fill="B2A1C7"/>
      </w:tcPr>
    </w:tblStylePr>
    <w:tblStylePr w:type="firstCol">
      <w:tblPr/>
      <w:tcPr>
        <w:shd w:val="clear" w:color="auto" w:fill="B2A1C7"/>
      </w:tcPr>
    </w:tblStylePr>
    <w:tblStylePr w:type="lastCol">
      <w:tblPr/>
      <w:tcPr>
        <w:shd w:val="clear" w:color="auto" w:fill="B2A1C7"/>
      </w:tcPr>
    </w:tblStylePr>
    <w:tblStylePr w:type="band2Vert">
      <w:tblPr/>
      <w:tcPr>
        <w:shd w:val="clear" w:color="auto" w:fill="E5DFEC"/>
      </w:tcPr>
    </w:tblStylePr>
    <w:tblStylePr w:type="band2Horz">
      <w:tblPr/>
      <w:tcPr>
        <w:shd w:val="clear" w:color="auto" w:fill="E5DFEC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31849B"/>
        <w:left w:val="single" w:sz="4" w:space="0" w:color="31849B"/>
        <w:bottom w:val="single" w:sz="4" w:space="0" w:color="31849B"/>
        <w:right w:val="single" w:sz="4" w:space="0" w:color="31849B"/>
        <w:insideH w:val="single" w:sz="4" w:space="0" w:color="31849B"/>
        <w:insideV w:val="single" w:sz="4" w:space="0" w:color="31849B"/>
      </w:tblBorders>
      <w:tblCellMar>
        <w:top w:w="0" w:type="dxa"/>
        <w:left w:w="1" w:type="dxa"/>
        <w:bottom w:w="0" w:type="dxa"/>
        <w:right w:w="1" w:type="dxa"/>
      </w:tblCellMar>
    </w:tblPr>
    <w:tblStylePr w:type="firstRow">
      <w:tblPr/>
      <w:tcPr>
        <w:shd w:val="clear" w:color="auto" w:fill="92CDDC"/>
      </w:tcPr>
    </w:tblStylePr>
    <w:tblStylePr w:type="lastRow">
      <w:tblPr/>
      <w:tcPr>
        <w:shd w:val="clear" w:color="auto" w:fill="92CDDC"/>
      </w:tcPr>
    </w:tblStylePr>
    <w:tblStylePr w:type="firstCol">
      <w:tblPr/>
      <w:tcPr>
        <w:shd w:val="clear" w:color="auto" w:fill="92CDDC"/>
      </w:tcPr>
    </w:tblStylePr>
    <w:tblStylePr w:type="lastCol">
      <w:tblPr/>
      <w:tcPr>
        <w:shd w:val="clear" w:color="auto" w:fill="92CDDC"/>
      </w:tcPr>
    </w:tblStylePr>
    <w:tblStylePr w:type="band2Vert">
      <w:tblPr/>
      <w:tcPr>
        <w:shd w:val="clear" w:color="auto" w:fill="DAEEF3"/>
      </w:tcPr>
    </w:tblStylePr>
    <w:tblStylePr w:type="band2Horz">
      <w:tblPr/>
      <w:tcPr>
        <w:shd w:val="clear" w:color="auto" w:fill="DAEEF3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36C0A"/>
        <w:left w:val="single" w:sz="4" w:space="0" w:color="E36C0A"/>
        <w:bottom w:val="single" w:sz="4" w:space="0" w:color="E36C0A"/>
        <w:right w:val="single" w:sz="4" w:space="0" w:color="E36C0A"/>
        <w:insideH w:val="single" w:sz="4" w:space="0" w:color="E36C0A"/>
        <w:insideV w:val="single" w:sz="4" w:space="0" w:color="E36C0A"/>
      </w:tblBorders>
      <w:tblCellMar>
        <w:top w:w="0" w:type="dxa"/>
        <w:left w:w="1" w:type="dxa"/>
        <w:bottom w:w="0" w:type="dxa"/>
        <w:right w:w="1" w:type="dxa"/>
      </w:tblCellMar>
    </w:tblPr>
    <w:tblStylePr w:type="firstRow">
      <w:tblPr/>
      <w:tcPr>
        <w:shd w:val="clear" w:color="auto" w:fill="FABF8F"/>
      </w:tcPr>
    </w:tblStylePr>
    <w:tblStylePr w:type="lastRow">
      <w:tblPr/>
      <w:tcPr>
        <w:shd w:val="clear" w:color="auto" w:fill="FABF8F"/>
      </w:tcPr>
    </w:tblStylePr>
    <w:tblStylePr w:type="firstCol">
      <w:tblPr/>
      <w:tcPr>
        <w:shd w:val="clear" w:color="auto" w:fill="FABF8F"/>
      </w:tcPr>
    </w:tblStylePr>
    <w:tblStylePr w:type="lastCol">
      <w:tblPr/>
      <w:tcPr>
        <w:shd w:val="clear" w:color="auto" w:fill="FABF8F"/>
      </w:tcPr>
    </w:tblStylePr>
    <w:tblStylePr w:type="band2Vert">
      <w:tblPr/>
      <w:tcPr>
        <w:shd w:val="clear" w:color="auto" w:fill="FDE9D9"/>
      </w:tcPr>
    </w:tblStylePr>
    <w:tblStylePr w:type="band2Horz">
      <w:tblPr/>
      <w:tcPr>
        <w:shd w:val="clear" w:color="auto" w:fill="FDE9D9"/>
      </w:tcPr>
    </w:tblStylePr>
  </w:style>
  <w:style w:type="character" w:styleId="a7">
    <w:name w:val="Hyperlink"/>
    <w:uiPriority w:val="99"/>
    <w:unhideWhenUsed/>
    <w:rPr>
      <w:color w:val="0000FF"/>
      <w:u w:val="single"/>
    </w:rPr>
  </w:style>
  <w:style w:type="table" w:customStyle="1" w:styleId="GenStyleDefTableGrid">
    <w:name w:val="GenStyleDefTableGrid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" w:type="dxa"/>
        <w:bottom w:w="0" w:type="dxa"/>
        <w:right w:w="1" w:type="dxa"/>
      </w:tblCellMar>
    </w:tblPr>
    <w:tblStylePr w:type="firstRow">
      <w:tblPr/>
      <w:tcPr>
        <w:shd w:val="clear" w:color="auto" w:fill="D99594"/>
      </w:tcPr>
    </w:tblStylePr>
    <w:tblStylePr w:type="lastRow">
      <w:tblPr/>
      <w:tcPr>
        <w:shd w:val="clear" w:color="auto" w:fill="D99594"/>
      </w:tcPr>
    </w:tblStylePr>
    <w:tblStylePr w:type="firstCol">
      <w:tblPr/>
      <w:tcPr>
        <w:shd w:val="clear" w:color="auto" w:fill="D99594"/>
      </w:tcPr>
    </w:tblStylePr>
    <w:tblStylePr w:type="lastCol">
      <w:tblPr/>
      <w:tcPr>
        <w:shd w:val="clear" w:color="auto" w:fill="D99594"/>
      </w:tcPr>
    </w:tblStylePr>
    <w:tblStylePr w:type="band2Vert">
      <w:tblPr/>
      <w:tcPr>
        <w:shd w:val="clear" w:color="auto" w:fill="F2DBDB"/>
      </w:tcPr>
    </w:tblStylePr>
    <w:tblStylePr w:type="band2Horz">
      <w:tblPr/>
      <w:tcPr>
        <w:shd w:val="clear" w:color="auto" w:fill="F2DBDB"/>
      </w:tcPr>
    </w:tblStylePr>
  </w:style>
  <w:style w:type="paragraph" w:styleId="a8">
    <w:name w:val="Body Text"/>
    <w:basedOn w:val="a"/>
    <w:semiHidden/>
    <w:unhideWhenUsed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9">
    <w:name w:val="Основной текст Знак"/>
    <w:basedOn w:val="a0"/>
    <w:semiHidden/>
    <w:rPr>
      <w:rFonts w:ascii="Times New Roman" w:eastAsia="Times New Roman" w:hAnsi="Times New Roman" w:cs="Times New Roman" w:hint="default"/>
      <w:sz w:val="24"/>
      <w:szCs w:val="20"/>
      <w:lang w:eastAsia="ru-RU"/>
    </w:rPr>
  </w:style>
  <w:style w:type="paragraph" w:styleId="aa">
    <w:name w:val="Body Text Indent"/>
    <w:basedOn w:val="a"/>
    <w:semiHidden/>
    <w:unhideWhenUsed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b">
    <w:name w:val="Основной текст с отступом Знак"/>
    <w:basedOn w:val="a0"/>
    <w:semiHidden/>
    <w:rPr>
      <w:rFonts w:ascii="Times New Roman" w:eastAsia="Times New Roman" w:hAnsi="Times New Roman" w:cs="Times New Roman" w:hint="default"/>
      <w:sz w:val="24"/>
      <w:szCs w:val="24"/>
      <w:lang w:eastAsia="ar-SA"/>
    </w:rPr>
  </w:style>
  <w:style w:type="paragraph" w:styleId="ac">
    <w:name w:val="Plain Text"/>
    <w:basedOn w:val="a"/>
    <w:semiHidden/>
    <w:unhideWhenUsed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d">
    <w:name w:val="Текст Знак"/>
    <w:basedOn w:val="a0"/>
    <w:semiHidden/>
    <w:rPr>
      <w:rFonts w:ascii="Courier New" w:eastAsia="Times New Roman" w:hAnsi="Courier New" w:cs="Courier New" w:hint="default"/>
      <w:sz w:val="20"/>
      <w:szCs w:val="20"/>
      <w:lang w:eastAsia="ru-RU"/>
    </w:rPr>
  </w:style>
  <w:style w:type="paragraph" w:customStyle="1" w:styleId="Standard">
    <w:name w:val="Standard"/>
    <w:pPr>
      <w:widowControl w:val="0"/>
      <w:spacing w:after="0" w:line="240" w:lineRule="auto"/>
    </w:pPr>
    <w:rPr>
      <w:rFonts w:ascii="Times New Roman" w:eastAsia="Times New Roman" w:hAnsi="Times New Roman" w:cs="Tahoma"/>
      <w:sz w:val="24"/>
      <w:szCs w:val="24"/>
      <w:lang w:val="de-DE" w:eastAsia="ja-JP" w:bidi="fa-IR"/>
    </w:rPr>
  </w:style>
  <w:style w:type="character" w:customStyle="1" w:styleId="ae">
    <w:name w:val="Основной текст_"/>
    <w:rPr>
      <w:rFonts w:ascii="Arial" w:eastAsia="Arial" w:hAnsi="Arial" w:cs="Arial" w:hint="default"/>
      <w:sz w:val="21"/>
      <w:szCs w:val="21"/>
      <w:highlight w:val="white"/>
    </w:rPr>
  </w:style>
  <w:style w:type="paragraph" w:styleId="af">
    <w:name w:val="Balloon Text"/>
    <w:basedOn w:val="a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uiPriority w:val="99"/>
    <w:semiHidden/>
    <w:rPr>
      <w:rFonts w:ascii="Tahoma" w:hAnsi="Tahoma" w:cs="Tahoma" w:hint="default"/>
      <w:sz w:val="16"/>
      <w:szCs w:val="16"/>
    </w:rPr>
  </w:style>
  <w:style w:type="paragraph" w:styleId="af1">
    <w:name w:val="Normal (Web)"/>
    <w:basedOn w:val="a"/>
    <w:unhideWhenUsed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2">
    <w:name w:val="Без интервала Знак"/>
    <w:rPr>
      <w:rFonts w:ascii="Calibri" w:hAnsi="Calibri" w:cs="Calibri" w:hint="default"/>
    </w:rPr>
  </w:style>
  <w:style w:type="paragraph" w:styleId="af3">
    <w:name w:val="No Spacing"/>
    <w:qFormat/>
    <w:pPr>
      <w:spacing w:after="0" w:line="240" w:lineRule="auto"/>
    </w:pPr>
  </w:style>
  <w:style w:type="paragraph" w:customStyle="1" w:styleId="j14">
    <w:name w:val="j14"/>
    <w:basedOn w:val="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0">
    <w:name w:val="s0"/>
    <w:basedOn w:val="a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color w:val="000000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Текст1"/>
    <w:basedOn w:val="a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customStyle="1" w:styleId="31">
    <w:name w:val="Заголовок 31"/>
    <w:basedOn w:val="a"/>
    <w:next w:val="a"/>
    <w:semiHidden/>
    <w:unhideWhenUsed/>
    <w:qFormat/>
    <w:pPr>
      <w:keepNext/>
      <w:spacing w:before="240" w:after="60" w:line="240" w:lineRule="auto"/>
    </w:pPr>
    <w:rPr>
      <w:rFonts w:ascii="Arial" w:eastAsia="Times New Roman" w:hAnsi="Arial" w:cs="Arial"/>
      <w:b/>
      <w:bCs/>
      <w:sz w:val="26"/>
      <w:szCs w:val="26"/>
      <w:lang w:eastAsia="ar-SA"/>
    </w:rPr>
  </w:style>
  <w:style w:type="paragraph" w:customStyle="1" w:styleId="6">
    <w:name w:val="Основной текст6"/>
    <w:basedOn w:val="a"/>
    <w:pPr>
      <w:shd w:val="clear" w:color="auto" w:fill="FFFFFF"/>
      <w:spacing w:before="300" w:after="0" w:line="274" w:lineRule="exact"/>
      <w:jc w:val="both"/>
    </w:pPr>
    <w:rPr>
      <w:rFonts w:ascii="Arial" w:eastAsia="Arial" w:hAnsi="Arial" w:cs="Arial"/>
      <w:sz w:val="21"/>
      <w:szCs w:val="21"/>
    </w:rPr>
  </w:style>
  <w:style w:type="paragraph" w:customStyle="1" w:styleId="11">
    <w:name w:val="Заголовок 11"/>
    <w:basedOn w:val="a"/>
    <w:next w:val="a"/>
    <w:uiPriority w:val="9"/>
    <w:qFormat/>
    <w:pPr>
      <w:keepNext/>
      <w:keepLines/>
      <w:spacing w:before="480" w:after="0"/>
    </w:pPr>
    <w:rPr>
      <w:b/>
      <w:sz w:val="48"/>
    </w:rPr>
  </w:style>
  <w:style w:type="paragraph" w:customStyle="1" w:styleId="21">
    <w:name w:val="Заголовок 21"/>
    <w:basedOn w:val="a"/>
    <w:next w:val="a"/>
    <w:uiPriority w:val="9"/>
    <w:unhideWhenUsed/>
    <w:qFormat/>
    <w:pPr>
      <w:keepNext/>
      <w:keepLines/>
      <w:spacing w:before="200" w:after="0"/>
    </w:pPr>
    <w:rPr>
      <w:b/>
      <w:sz w:val="40"/>
    </w:rPr>
  </w:style>
  <w:style w:type="paragraph" w:customStyle="1" w:styleId="41">
    <w:name w:val="Заголовок 41"/>
    <w:basedOn w:val="a"/>
    <w:next w:val="a"/>
    <w:uiPriority w:val="9"/>
    <w:unhideWhenUsed/>
    <w:qFormat/>
    <w:pPr>
      <w:keepNext/>
      <w:keepLines/>
      <w:spacing w:before="200" w:after="0"/>
    </w:pPr>
    <w:rPr>
      <w:color w:val="232323"/>
      <w:sz w:val="32"/>
    </w:rPr>
  </w:style>
  <w:style w:type="paragraph" w:customStyle="1" w:styleId="51">
    <w:name w:val="Заголовок 51"/>
    <w:basedOn w:val="a"/>
    <w:next w:val="a"/>
    <w:uiPriority w:val="9"/>
    <w:unhideWhenUsed/>
    <w:qFormat/>
    <w:pPr>
      <w:keepNext/>
      <w:keepLines/>
      <w:spacing w:before="200" w:after="0"/>
    </w:pPr>
    <w:rPr>
      <w:b/>
      <w:color w:val="444444"/>
      <w:sz w:val="28"/>
    </w:rPr>
  </w:style>
  <w:style w:type="paragraph" w:customStyle="1" w:styleId="61">
    <w:name w:val="Заголовок 61"/>
    <w:basedOn w:val="a"/>
    <w:next w:val="a"/>
    <w:uiPriority w:val="9"/>
    <w:unhideWhenUsed/>
    <w:qFormat/>
    <w:pPr>
      <w:keepNext/>
      <w:keepLines/>
      <w:spacing w:before="200" w:after="0"/>
    </w:pPr>
    <w:rPr>
      <w:i/>
      <w:color w:val="232323"/>
      <w:sz w:val="28"/>
    </w:rPr>
  </w:style>
  <w:style w:type="paragraph" w:customStyle="1" w:styleId="71">
    <w:name w:val="Заголовок 71"/>
    <w:basedOn w:val="a"/>
    <w:next w:val="a"/>
    <w:uiPriority w:val="9"/>
    <w:unhideWhenUsed/>
    <w:qFormat/>
    <w:pPr>
      <w:keepNext/>
      <w:keepLines/>
      <w:spacing w:before="200" w:after="0"/>
    </w:pPr>
    <w:rPr>
      <w:b/>
      <w:color w:val="606060"/>
      <w:sz w:val="24"/>
    </w:rPr>
  </w:style>
  <w:style w:type="paragraph" w:customStyle="1" w:styleId="81">
    <w:name w:val="Заголовок 81"/>
    <w:basedOn w:val="a"/>
    <w:next w:val="a"/>
    <w:uiPriority w:val="9"/>
    <w:unhideWhenUsed/>
    <w:qFormat/>
    <w:pPr>
      <w:keepNext/>
      <w:keepLines/>
      <w:spacing w:before="200" w:after="0"/>
    </w:pPr>
    <w:rPr>
      <w:color w:val="444444"/>
      <w:sz w:val="24"/>
    </w:rPr>
  </w:style>
  <w:style w:type="paragraph" w:customStyle="1" w:styleId="91">
    <w:name w:val="Заголовок 91"/>
    <w:basedOn w:val="a"/>
    <w:next w:val="a"/>
    <w:uiPriority w:val="9"/>
    <w:unhideWhenUsed/>
    <w:qFormat/>
    <w:pPr>
      <w:keepNext/>
      <w:keepLines/>
      <w:spacing w:before="200" w:after="0"/>
    </w:pPr>
    <w:rPr>
      <w:i/>
      <w:color w:val="444444"/>
      <w:sz w:val="23"/>
    </w:rPr>
  </w:style>
  <w:style w:type="paragraph" w:styleId="a3">
    <w:name w:val="List Paragraph"/>
    <w:basedOn w:val="a"/>
    <w:uiPriority w:val="34"/>
    <w:qFormat/>
    <w:pPr>
      <w:ind w:left="720"/>
      <w:contextualSpacing/>
    </w:pPr>
  </w:style>
  <w:style w:type="paragraph" w:styleId="a4">
    <w:name w:val="Title"/>
    <w:basedOn w:val="a"/>
    <w:next w:val="a"/>
    <w:uiPriority w:val="10"/>
    <w:qFormat/>
    <w:pPr>
      <w:pBdr>
        <w:bottom w:val="single" w:sz="24" w:space="0" w:color="000000"/>
      </w:pBdr>
      <w:spacing w:before="300" w:after="80" w:line="240" w:lineRule="auto"/>
    </w:pPr>
    <w:rPr>
      <w:b/>
      <w:sz w:val="72"/>
    </w:rPr>
  </w:style>
  <w:style w:type="paragraph" w:styleId="a5">
    <w:name w:val="Subtitle"/>
    <w:basedOn w:val="a"/>
    <w:next w:val="a"/>
    <w:uiPriority w:val="11"/>
    <w:qFormat/>
    <w:pPr>
      <w:spacing w:line="240" w:lineRule="auto"/>
    </w:pPr>
    <w:rPr>
      <w:i/>
      <w:color w:val="444444"/>
      <w:sz w:val="52"/>
    </w:rPr>
  </w:style>
  <w:style w:type="paragraph" w:styleId="2">
    <w:name w:val="Quote"/>
    <w:basedOn w:val="a"/>
    <w:next w:val="a"/>
    <w:uiPriority w:val="29"/>
    <w:qFormat/>
    <w:pPr>
      <w:pBdr>
        <w:left w:val="single" w:sz="12" w:space="11" w:color="A6A6A6"/>
        <w:bottom w:val="single" w:sz="12" w:space="3" w:color="A6A6A6"/>
      </w:pBdr>
      <w:ind w:left="3402"/>
    </w:pPr>
    <w:rPr>
      <w:i/>
      <w:color w:val="373737"/>
      <w:sz w:val="18"/>
    </w:rPr>
  </w:style>
  <w:style w:type="paragraph" w:styleId="a6">
    <w:name w:val="Intense Quote"/>
    <w:basedOn w:val="a"/>
    <w:next w:val="a"/>
    <w:uiPriority w:val="30"/>
    <w:qFormat/>
    <w:pPr>
      <w:pBdr>
        <w:top w:val="single" w:sz="4" w:space="3" w:color="808080"/>
        <w:left w:val="single" w:sz="4" w:space="11" w:color="808080"/>
        <w:bottom w:val="single" w:sz="4" w:space="3" w:color="808080"/>
        <w:right w:val="single" w:sz="4" w:space="11" w:color="808080"/>
      </w:pBdr>
      <w:shd w:val="clear" w:color="auto" w:fill="D9D9D9"/>
      <w:ind w:left="567" w:right="567"/>
    </w:pPr>
    <w:rPr>
      <w:i/>
      <w:color w:val="606060"/>
      <w:sz w:val="19"/>
    </w:rPr>
  </w:style>
  <w:style w:type="paragraph" w:customStyle="1" w:styleId="10">
    <w:name w:val="Верхний колонтитул1"/>
    <w:basedOn w:val="a"/>
    <w:uiPriority w:val="99"/>
    <w:unhideWhenUsed/>
    <w:pPr>
      <w:tabs>
        <w:tab w:val="center" w:pos="4677"/>
        <w:tab w:val="right" w:pos="9354"/>
      </w:tabs>
      <w:spacing w:after="0" w:line="240" w:lineRule="auto"/>
    </w:pPr>
  </w:style>
  <w:style w:type="paragraph" w:customStyle="1" w:styleId="12">
    <w:name w:val="Нижний колонтитул1"/>
    <w:basedOn w:val="a"/>
    <w:uiPriority w:val="99"/>
    <w:unhideWhenUsed/>
    <w:pPr>
      <w:tabs>
        <w:tab w:val="center" w:pos="4677"/>
        <w:tab w:val="right" w:pos="9354"/>
      </w:tabs>
      <w:spacing w:after="0" w:line="240" w:lineRule="auto"/>
    </w:pPr>
  </w:style>
  <w:style w:type="table" w:customStyle="1" w:styleId="Lined">
    <w:name w:val="Lined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" w:type="dxa"/>
        <w:bottom w:w="0" w:type="dxa"/>
        <w:right w:w="1" w:type="dxa"/>
      </w:tblCellMar>
    </w:tblPr>
    <w:tblStylePr w:type="firstRow">
      <w:tblPr/>
      <w:tcPr>
        <w:shd w:val="clear" w:color="auto" w:fill="A6A6A6"/>
      </w:tcPr>
    </w:tblStylePr>
    <w:tblStylePr w:type="lastRow">
      <w:tblPr/>
      <w:tcPr>
        <w:shd w:val="clear" w:color="auto" w:fill="A6A6A6"/>
      </w:tcPr>
    </w:tblStylePr>
    <w:tblStylePr w:type="firstCol">
      <w:tblPr/>
      <w:tcPr>
        <w:shd w:val="clear" w:color="auto" w:fill="A6A6A6"/>
      </w:tcPr>
    </w:tblStylePr>
    <w:tblStylePr w:type="lastCol">
      <w:tblPr/>
      <w:tcPr>
        <w:shd w:val="clear" w:color="auto" w:fill="A6A6A6"/>
      </w:tcPr>
    </w:tblStylePr>
    <w:tblStylePr w:type="band2Vert">
      <w:tblPr/>
      <w:tcPr>
        <w:shd w:val="clear" w:color="auto" w:fill="D9D9D9"/>
      </w:tcPr>
    </w:tblStylePr>
    <w:tblStylePr w:type="band2Horz">
      <w:tblPr/>
      <w:tcPr>
        <w:shd w:val="clear" w:color="auto" w:fill="D9D9D9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" w:type="dxa"/>
        <w:bottom w:w="0" w:type="dxa"/>
        <w:right w:w="1" w:type="dxa"/>
      </w:tblCellMar>
    </w:tblPr>
    <w:tblStylePr w:type="firstRow">
      <w:tblPr/>
      <w:tcPr>
        <w:shd w:val="clear" w:color="auto" w:fill="95B3D7"/>
      </w:tcPr>
    </w:tblStylePr>
    <w:tblStylePr w:type="lastRow">
      <w:tblPr/>
      <w:tcPr>
        <w:shd w:val="clear" w:color="auto" w:fill="95B3D7"/>
      </w:tcPr>
    </w:tblStylePr>
    <w:tblStylePr w:type="firstCol">
      <w:tblPr/>
      <w:tcPr>
        <w:shd w:val="clear" w:color="auto" w:fill="95B3D7"/>
      </w:tcPr>
    </w:tblStylePr>
    <w:tblStylePr w:type="lastCol">
      <w:tblPr/>
      <w:tcPr>
        <w:shd w:val="clear" w:color="auto" w:fill="95B3D7"/>
      </w:tcPr>
    </w:tblStylePr>
    <w:tblStylePr w:type="band2Vert">
      <w:tblPr/>
      <w:tcPr>
        <w:shd w:val="clear" w:color="auto" w:fill="DBE5F1"/>
      </w:tcPr>
    </w:tblStylePr>
    <w:tblStylePr w:type="band2Horz">
      <w:tblPr/>
      <w:tcPr>
        <w:shd w:val="clear" w:color="auto" w:fill="DBE5F1"/>
      </w:tcPr>
    </w:tblStylePr>
  </w:style>
  <w:style w:type="character" w:customStyle="1" w:styleId="3">
    <w:name w:val="Заголовок 3 Знак"/>
    <w:basedOn w:val="a0"/>
    <w:semiHidden/>
    <w:rPr>
      <w:rFonts w:ascii="Arial" w:eastAsia="Times New Roman" w:hAnsi="Arial" w:cs="Arial" w:hint="default"/>
      <w:b/>
      <w:bCs/>
      <w:sz w:val="26"/>
      <w:szCs w:val="26"/>
      <w:lang w:eastAsia="ar-SA"/>
    </w:r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" w:type="dxa"/>
        <w:bottom w:w="0" w:type="dxa"/>
        <w:right w:w="1" w:type="dxa"/>
      </w:tblCellMar>
    </w:tblPr>
    <w:tblStylePr w:type="firstRow">
      <w:tblPr/>
      <w:tcPr>
        <w:shd w:val="clear" w:color="auto" w:fill="C2D69B"/>
      </w:tcPr>
    </w:tblStylePr>
    <w:tblStylePr w:type="lastRow">
      <w:tblPr/>
      <w:tcPr>
        <w:shd w:val="clear" w:color="auto" w:fill="C2D69B"/>
      </w:tcPr>
    </w:tblStylePr>
    <w:tblStylePr w:type="firstCol">
      <w:tblPr/>
      <w:tcPr>
        <w:shd w:val="clear" w:color="auto" w:fill="C2D69B"/>
      </w:tcPr>
    </w:tblStylePr>
    <w:tblStylePr w:type="lastCol">
      <w:tblPr/>
      <w:tcPr>
        <w:shd w:val="clear" w:color="auto" w:fill="C2D69B"/>
      </w:tcPr>
    </w:tblStylePr>
    <w:tblStylePr w:type="band2Vert">
      <w:tblPr/>
      <w:tcPr>
        <w:shd w:val="clear" w:color="auto" w:fill="EAF1DD"/>
      </w:tcPr>
    </w:tblStylePr>
    <w:tblStylePr w:type="band2Horz">
      <w:tblPr/>
      <w:tcPr>
        <w:shd w:val="clear" w:color="auto" w:fill="EAF1DD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" w:type="dxa"/>
        <w:bottom w:w="0" w:type="dxa"/>
        <w:right w:w="1" w:type="dxa"/>
      </w:tblCellMar>
    </w:tblPr>
    <w:tblStylePr w:type="firstRow">
      <w:tblPr/>
      <w:tcPr>
        <w:shd w:val="clear" w:color="auto" w:fill="B2A1C7"/>
      </w:tcPr>
    </w:tblStylePr>
    <w:tblStylePr w:type="lastRow">
      <w:tblPr/>
      <w:tcPr>
        <w:shd w:val="clear" w:color="auto" w:fill="B2A1C7"/>
      </w:tcPr>
    </w:tblStylePr>
    <w:tblStylePr w:type="firstCol">
      <w:tblPr/>
      <w:tcPr>
        <w:shd w:val="clear" w:color="auto" w:fill="B2A1C7"/>
      </w:tcPr>
    </w:tblStylePr>
    <w:tblStylePr w:type="lastCol">
      <w:tblPr/>
      <w:tcPr>
        <w:shd w:val="clear" w:color="auto" w:fill="B2A1C7"/>
      </w:tcPr>
    </w:tblStylePr>
    <w:tblStylePr w:type="band2Vert">
      <w:tblPr/>
      <w:tcPr>
        <w:shd w:val="clear" w:color="auto" w:fill="E5DFEC"/>
      </w:tcPr>
    </w:tblStylePr>
    <w:tblStylePr w:type="band2Horz">
      <w:tblPr/>
      <w:tcPr>
        <w:shd w:val="clear" w:color="auto" w:fill="E5DFEC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" w:type="dxa"/>
        <w:bottom w:w="0" w:type="dxa"/>
        <w:right w:w="1" w:type="dxa"/>
      </w:tblCellMar>
    </w:tblPr>
    <w:tblStylePr w:type="firstRow">
      <w:tblPr/>
      <w:tcPr>
        <w:shd w:val="clear" w:color="auto" w:fill="92CDDC"/>
      </w:tcPr>
    </w:tblStylePr>
    <w:tblStylePr w:type="lastRow">
      <w:tblPr/>
      <w:tcPr>
        <w:shd w:val="clear" w:color="auto" w:fill="92CDDC"/>
      </w:tcPr>
    </w:tblStylePr>
    <w:tblStylePr w:type="firstCol">
      <w:tblPr/>
      <w:tcPr>
        <w:shd w:val="clear" w:color="auto" w:fill="92CDDC"/>
      </w:tcPr>
    </w:tblStylePr>
    <w:tblStylePr w:type="lastCol">
      <w:tblPr/>
      <w:tcPr>
        <w:shd w:val="clear" w:color="auto" w:fill="92CDDC"/>
      </w:tcPr>
    </w:tblStylePr>
    <w:tblStylePr w:type="band2Vert">
      <w:tblPr/>
      <w:tcPr>
        <w:shd w:val="clear" w:color="auto" w:fill="DAEEF3"/>
      </w:tcPr>
    </w:tblStylePr>
    <w:tblStylePr w:type="band2Horz">
      <w:tblPr/>
      <w:tcPr>
        <w:shd w:val="clear" w:color="auto" w:fill="DAEEF3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" w:type="dxa"/>
        <w:bottom w:w="0" w:type="dxa"/>
        <w:right w:w="1" w:type="dxa"/>
      </w:tblCellMar>
    </w:tblPr>
    <w:tblStylePr w:type="firstRow">
      <w:tblPr/>
      <w:tcPr>
        <w:shd w:val="clear" w:color="auto" w:fill="FABF8F"/>
      </w:tcPr>
    </w:tblStylePr>
    <w:tblStylePr w:type="lastRow">
      <w:tblPr/>
      <w:tcPr>
        <w:shd w:val="clear" w:color="auto" w:fill="FABF8F"/>
      </w:tcPr>
    </w:tblStylePr>
    <w:tblStylePr w:type="firstCol">
      <w:tblPr/>
      <w:tcPr>
        <w:shd w:val="clear" w:color="auto" w:fill="FABF8F"/>
      </w:tcPr>
    </w:tblStylePr>
    <w:tblStylePr w:type="lastCol">
      <w:tblPr/>
      <w:tcPr>
        <w:shd w:val="clear" w:color="auto" w:fill="FABF8F"/>
      </w:tcPr>
    </w:tblStylePr>
    <w:tblStylePr w:type="band2Vert">
      <w:tblPr/>
      <w:tcPr>
        <w:shd w:val="clear" w:color="auto" w:fill="FDE9E9"/>
      </w:tcPr>
    </w:tblStylePr>
    <w:tblStylePr w:type="band2Horz">
      <w:tblPr/>
      <w:tcPr>
        <w:shd w:val="clear" w:color="auto" w:fill="FDE9E9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  <w:tblCellMar>
        <w:top w:w="0" w:type="dxa"/>
        <w:left w:w="1" w:type="dxa"/>
        <w:bottom w:w="0" w:type="dxa"/>
        <w:right w:w="1" w:type="dxa"/>
      </w:tblCellMar>
    </w:tblPr>
    <w:tblStylePr w:type="firstRow">
      <w:tblPr/>
      <w:tcPr>
        <w:tcBorders>
          <w:bottom w:val="single" w:sz="18" w:space="0" w:color="000000"/>
        </w:tcBorders>
      </w:tcPr>
    </w:tblStylePr>
    <w:tblStylePr w:type="lastRow">
      <w:tblPr/>
      <w:tcPr>
        <w:tcBorders>
          <w:top w:val="single" w:sz="18" w:space="0" w:color="000000"/>
        </w:tcBorders>
      </w:tcPr>
    </w:tblStylePr>
    <w:tblStylePr w:type="firstCol">
      <w:tblPr/>
      <w:tcPr>
        <w:tcBorders>
          <w:right w:val="single" w:sz="18" w:space="0" w:color="000000"/>
        </w:tcBorders>
      </w:tcPr>
    </w:tblStylePr>
    <w:tblStylePr w:type="lastCol">
      <w:tblPr/>
      <w:tcPr>
        <w:tcBorders>
          <w:left w:val="single" w:sz="18" w:space="0" w:color="000000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8CCE4"/>
        <w:left w:val="single" w:sz="4" w:space="0" w:color="B8CCE4"/>
        <w:bottom w:val="single" w:sz="4" w:space="0" w:color="B8CCE4"/>
        <w:right w:val="single" w:sz="4" w:space="0" w:color="B8CCE4"/>
        <w:insideH w:val="single" w:sz="4" w:space="0" w:color="B8CCE4"/>
        <w:insideV w:val="single" w:sz="4" w:space="0" w:color="B8CCE4"/>
      </w:tblBorders>
      <w:tblCellMar>
        <w:top w:w="0" w:type="dxa"/>
        <w:left w:w="1" w:type="dxa"/>
        <w:bottom w:w="0" w:type="dxa"/>
        <w:right w:w="1" w:type="dxa"/>
      </w:tblCellMar>
    </w:tblPr>
    <w:tblStylePr w:type="firstRow">
      <w:tblPr/>
      <w:tcPr>
        <w:tcBorders>
          <w:bottom w:val="single" w:sz="18" w:space="0" w:color="365F91"/>
        </w:tcBorders>
      </w:tcPr>
    </w:tblStylePr>
    <w:tblStylePr w:type="lastRow">
      <w:tblPr/>
      <w:tcPr>
        <w:tcBorders>
          <w:top w:val="single" w:sz="18" w:space="0" w:color="365F91"/>
        </w:tcBorders>
      </w:tcPr>
    </w:tblStylePr>
    <w:tblStylePr w:type="firstCol">
      <w:tblPr/>
      <w:tcPr>
        <w:tcBorders>
          <w:right w:val="single" w:sz="18" w:space="0" w:color="365F91"/>
        </w:tcBorders>
      </w:tcPr>
    </w:tblStylePr>
    <w:tblStylePr w:type="lastCol">
      <w:tblPr/>
      <w:tcPr>
        <w:tcBorders>
          <w:left w:val="single" w:sz="18" w:space="0" w:color="365F91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5B8B7"/>
        <w:left w:val="single" w:sz="4" w:space="0" w:color="E5B8B7"/>
        <w:bottom w:val="single" w:sz="4" w:space="0" w:color="E5B8B7"/>
        <w:right w:val="single" w:sz="4" w:space="0" w:color="E5B8B7"/>
        <w:insideH w:val="single" w:sz="4" w:space="0" w:color="E5B8B7"/>
        <w:insideV w:val="single" w:sz="4" w:space="0" w:color="E5B8B7"/>
      </w:tblBorders>
      <w:tblCellMar>
        <w:top w:w="0" w:type="dxa"/>
        <w:left w:w="1" w:type="dxa"/>
        <w:bottom w:w="0" w:type="dxa"/>
        <w:right w:w="1" w:type="dxa"/>
      </w:tblCellMar>
    </w:tblPr>
    <w:tblStylePr w:type="firstRow">
      <w:tblPr/>
      <w:tcPr>
        <w:tcBorders>
          <w:bottom w:val="single" w:sz="18" w:space="0" w:color="943634"/>
        </w:tcBorders>
      </w:tcPr>
    </w:tblStylePr>
    <w:tblStylePr w:type="lastRow">
      <w:tblPr/>
      <w:tcPr>
        <w:tcBorders>
          <w:top w:val="single" w:sz="18" w:space="0" w:color="943634"/>
        </w:tcBorders>
      </w:tcPr>
    </w:tblStylePr>
    <w:tblStylePr w:type="firstCol">
      <w:tblPr/>
      <w:tcPr>
        <w:tcBorders>
          <w:right w:val="single" w:sz="18" w:space="0" w:color="943634"/>
        </w:tcBorders>
      </w:tcPr>
    </w:tblStylePr>
    <w:tblStylePr w:type="lastCol">
      <w:tblPr/>
      <w:tcPr>
        <w:tcBorders>
          <w:left w:val="single" w:sz="18" w:space="0" w:color="943634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6E3BC"/>
        <w:left w:val="single" w:sz="4" w:space="0" w:color="D6E3BC"/>
        <w:bottom w:val="single" w:sz="4" w:space="0" w:color="D6E3BC"/>
        <w:right w:val="single" w:sz="4" w:space="0" w:color="D6E3BC"/>
        <w:insideH w:val="single" w:sz="4" w:space="0" w:color="D6E3BC"/>
        <w:insideV w:val="single" w:sz="4" w:space="0" w:color="D6E3BC"/>
      </w:tblBorders>
      <w:tblCellMar>
        <w:top w:w="0" w:type="dxa"/>
        <w:left w:w="1" w:type="dxa"/>
        <w:bottom w:w="0" w:type="dxa"/>
        <w:right w:w="1" w:type="dxa"/>
      </w:tblCellMar>
    </w:tblPr>
    <w:tblStylePr w:type="firstRow">
      <w:tblPr/>
      <w:tcPr>
        <w:tcBorders>
          <w:bottom w:val="single" w:sz="18" w:space="0" w:color="76923C"/>
        </w:tcBorders>
      </w:tcPr>
    </w:tblStylePr>
    <w:tblStylePr w:type="lastRow">
      <w:tblPr/>
      <w:tcPr>
        <w:tcBorders>
          <w:top w:val="single" w:sz="18" w:space="0" w:color="76923C"/>
        </w:tcBorders>
      </w:tcPr>
    </w:tblStylePr>
    <w:tblStylePr w:type="firstCol">
      <w:tblPr/>
      <w:tcPr>
        <w:tcBorders>
          <w:right w:val="single" w:sz="18" w:space="0" w:color="76923C"/>
        </w:tcBorders>
      </w:tcPr>
    </w:tblStylePr>
    <w:tblStylePr w:type="lastCol">
      <w:tblPr/>
      <w:tcPr>
        <w:tcBorders>
          <w:left w:val="single" w:sz="18" w:space="0" w:color="76923C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CC0D9"/>
        <w:left w:val="single" w:sz="4" w:space="0" w:color="CCC0D9"/>
        <w:bottom w:val="single" w:sz="4" w:space="0" w:color="CCC0D9"/>
        <w:right w:val="single" w:sz="4" w:space="0" w:color="CCC0D9"/>
        <w:insideH w:val="single" w:sz="4" w:space="0" w:color="CCC0D9"/>
        <w:insideV w:val="single" w:sz="4" w:space="0" w:color="CCC0D9"/>
      </w:tblBorders>
      <w:tblCellMar>
        <w:top w:w="0" w:type="dxa"/>
        <w:left w:w="1" w:type="dxa"/>
        <w:bottom w:w="0" w:type="dxa"/>
        <w:right w:w="1" w:type="dxa"/>
      </w:tblCellMar>
    </w:tblPr>
    <w:tblStylePr w:type="firstRow">
      <w:tblPr/>
      <w:tcPr>
        <w:tcBorders>
          <w:bottom w:val="single" w:sz="18" w:space="0" w:color="5F497A"/>
        </w:tcBorders>
      </w:tcPr>
    </w:tblStylePr>
    <w:tblStylePr w:type="lastRow">
      <w:tblPr/>
      <w:tcPr>
        <w:tcBorders>
          <w:top w:val="single" w:sz="18" w:space="0" w:color="5F497A"/>
        </w:tcBorders>
      </w:tcPr>
    </w:tblStylePr>
    <w:tblStylePr w:type="firstCol">
      <w:tblPr/>
      <w:tcPr>
        <w:tcBorders>
          <w:right w:val="single" w:sz="18" w:space="0" w:color="5F497A"/>
        </w:tcBorders>
      </w:tcPr>
    </w:tblStylePr>
    <w:tblStylePr w:type="lastCol">
      <w:tblPr/>
      <w:tcPr>
        <w:tcBorders>
          <w:left w:val="single" w:sz="18" w:space="0" w:color="5F497A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6DDE8"/>
        <w:left w:val="single" w:sz="4" w:space="0" w:color="B6DDE8"/>
        <w:bottom w:val="single" w:sz="4" w:space="0" w:color="B6DDE8"/>
        <w:right w:val="single" w:sz="4" w:space="0" w:color="B6DDE8"/>
        <w:insideH w:val="single" w:sz="4" w:space="0" w:color="B6DDE8"/>
        <w:insideV w:val="single" w:sz="4" w:space="0" w:color="B6DDE8"/>
      </w:tblBorders>
      <w:tblCellMar>
        <w:top w:w="0" w:type="dxa"/>
        <w:left w:w="1" w:type="dxa"/>
        <w:bottom w:w="0" w:type="dxa"/>
        <w:right w:w="1" w:type="dxa"/>
      </w:tblCellMar>
    </w:tblPr>
    <w:tblStylePr w:type="firstRow">
      <w:tblPr/>
      <w:tcPr>
        <w:tcBorders>
          <w:bottom w:val="single" w:sz="18" w:space="0" w:color="31849B"/>
        </w:tcBorders>
      </w:tcPr>
    </w:tblStylePr>
    <w:tblStylePr w:type="lastRow">
      <w:tblPr/>
      <w:tcPr>
        <w:tcBorders>
          <w:top w:val="single" w:sz="18" w:space="0" w:color="31849B"/>
        </w:tcBorders>
      </w:tcPr>
    </w:tblStylePr>
    <w:tblStylePr w:type="firstCol">
      <w:tblPr/>
      <w:tcPr>
        <w:tcBorders>
          <w:right w:val="single" w:sz="18" w:space="0" w:color="31849B"/>
        </w:tcBorders>
      </w:tcPr>
    </w:tblStylePr>
    <w:tblStylePr w:type="lastCol">
      <w:tblPr/>
      <w:tcPr>
        <w:tcBorders>
          <w:left w:val="single" w:sz="18" w:space="0" w:color="31849B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BD4B4"/>
        <w:left w:val="single" w:sz="4" w:space="0" w:color="FBD4B4"/>
        <w:bottom w:val="single" w:sz="4" w:space="0" w:color="FBD4B4"/>
        <w:right w:val="single" w:sz="4" w:space="0" w:color="FBD4B4"/>
        <w:insideH w:val="single" w:sz="4" w:space="0" w:color="FBD4B4"/>
        <w:insideV w:val="single" w:sz="4" w:space="0" w:color="FBD4B4"/>
      </w:tblBorders>
      <w:tblCellMar>
        <w:top w:w="0" w:type="dxa"/>
        <w:left w:w="1" w:type="dxa"/>
        <w:bottom w:w="0" w:type="dxa"/>
        <w:right w:w="1" w:type="dxa"/>
      </w:tblCellMar>
    </w:tblPr>
    <w:tblStylePr w:type="firstRow">
      <w:tblPr/>
      <w:tcPr>
        <w:tcBorders>
          <w:bottom w:val="single" w:sz="18" w:space="0" w:color="E36C0A"/>
        </w:tcBorders>
      </w:tcPr>
    </w:tblStylePr>
    <w:tblStylePr w:type="lastRow">
      <w:tblPr/>
      <w:tcPr>
        <w:tcBorders>
          <w:top w:val="single" w:sz="18" w:space="0" w:color="E36C0A"/>
        </w:tcBorders>
      </w:tcPr>
    </w:tblStylePr>
    <w:tblStylePr w:type="firstCol">
      <w:tblPr/>
      <w:tcPr>
        <w:tcBorders>
          <w:right w:val="single" w:sz="18" w:space="0" w:color="E36C0A"/>
        </w:tcBorders>
      </w:tcPr>
    </w:tblStylePr>
    <w:tblStylePr w:type="lastCol">
      <w:tblPr/>
      <w:tcPr>
        <w:tcBorders>
          <w:left w:val="single" w:sz="18" w:space="0" w:color="E36C0A"/>
        </w:tcBorders>
      </w:tcPr>
    </w:tblStylePr>
  </w:style>
  <w:style w:type="table" w:customStyle="1" w:styleId="BorderedLined">
    <w:name w:val="Bordered &amp; Lined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" w:type="dxa"/>
        <w:bottom w:w="0" w:type="dxa"/>
        <w:right w:w="1" w:type="dxa"/>
      </w:tblCellMar>
    </w:tblPr>
    <w:tblStylePr w:type="firstRow">
      <w:tblPr/>
      <w:tcPr>
        <w:shd w:val="clear" w:color="auto" w:fill="A6A6A6"/>
      </w:tcPr>
    </w:tblStylePr>
    <w:tblStylePr w:type="lastRow">
      <w:tblPr/>
      <w:tcPr>
        <w:shd w:val="clear" w:color="auto" w:fill="A6A6A6"/>
      </w:tcPr>
    </w:tblStylePr>
    <w:tblStylePr w:type="firstCol">
      <w:tblPr/>
      <w:tcPr>
        <w:shd w:val="clear" w:color="auto" w:fill="A6A6A6"/>
      </w:tcPr>
    </w:tblStylePr>
    <w:tblStylePr w:type="lastCol">
      <w:tblPr/>
      <w:tcPr>
        <w:shd w:val="clear" w:color="auto" w:fill="A6A6A6"/>
      </w:tcPr>
    </w:tblStylePr>
    <w:tblStylePr w:type="band2Vert">
      <w:tblPr/>
      <w:tcPr>
        <w:shd w:val="clear" w:color="auto" w:fill="D9D9D9"/>
      </w:tcPr>
    </w:tblStylePr>
    <w:tblStylePr w:type="band2Horz">
      <w:tblPr/>
      <w:tcPr>
        <w:shd w:val="clear" w:color="auto" w:fill="D9D9D9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17365D"/>
        <w:left w:val="single" w:sz="4" w:space="0" w:color="17365D"/>
        <w:bottom w:val="single" w:sz="4" w:space="0" w:color="17365D"/>
        <w:right w:val="single" w:sz="4" w:space="0" w:color="17365D"/>
        <w:insideH w:val="single" w:sz="4" w:space="0" w:color="17365D"/>
        <w:insideV w:val="single" w:sz="4" w:space="0" w:color="17365D"/>
      </w:tblBorders>
      <w:tblCellMar>
        <w:top w:w="0" w:type="dxa"/>
        <w:left w:w="1" w:type="dxa"/>
        <w:bottom w:w="0" w:type="dxa"/>
        <w:right w:w="1" w:type="dxa"/>
      </w:tblCellMar>
    </w:tblPr>
    <w:tblStylePr w:type="firstRow">
      <w:tblPr/>
      <w:tcPr>
        <w:shd w:val="clear" w:color="auto" w:fill="8DB3E2"/>
      </w:tcPr>
    </w:tblStylePr>
    <w:tblStylePr w:type="lastRow">
      <w:tblPr/>
      <w:tcPr>
        <w:shd w:val="clear" w:color="auto" w:fill="8DB3E2"/>
      </w:tcPr>
    </w:tblStylePr>
    <w:tblStylePr w:type="firstCol">
      <w:tblPr/>
      <w:tcPr>
        <w:shd w:val="clear" w:color="auto" w:fill="8DB3E2"/>
      </w:tcPr>
    </w:tblStylePr>
    <w:tblStylePr w:type="lastCol">
      <w:tblPr/>
      <w:tcPr>
        <w:shd w:val="clear" w:color="auto" w:fill="8DB3E2"/>
      </w:tcPr>
    </w:tblStylePr>
    <w:tblStylePr w:type="band2Vert">
      <w:tblPr/>
      <w:tcPr>
        <w:shd w:val="clear" w:color="auto" w:fill="DBE5F1"/>
      </w:tcPr>
    </w:tblStylePr>
    <w:tblStylePr w:type="band2Horz">
      <w:tblPr/>
      <w:tcPr>
        <w:shd w:val="clear" w:color="auto" w:fill="DBE5F1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43634"/>
        <w:left w:val="single" w:sz="4" w:space="0" w:color="943634"/>
        <w:bottom w:val="single" w:sz="4" w:space="0" w:color="943634"/>
        <w:right w:val="single" w:sz="4" w:space="0" w:color="943634"/>
        <w:insideH w:val="single" w:sz="4" w:space="0" w:color="943634"/>
        <w:insideV w:val="single" w:sz="4" w:space="0" w:color="943634"/>
      </w:tblBorders>
      <w:tblCellMar>
        <w:top w:w="0" w:type="dxa"/>
        <w:left w:w="1" w:type="dxa"/>
        <w:bottom w:w="0" w:type="dxa"/>
        <w:right w:w="1" w:type="dxa"/>
      </w:tblCellMar>
    </w:tblPr>
    <w:tblStylePr w:type="firstRow">
      <w:tblPr/>
      <w:tcPr>
        <w:shd w:val="clear" w:color="auto" w:fill="D99594"/>
      </w:tcPr>
    </w:tblStylePr>
    <w:tblStylePr w:type="lastRow">
      <w:tblPr/>
      <w:tcPr>
        <w:shd w:val="clear" w:color="auto" w:fill="D99594"/>
      </w:tcPr>
    </w:tblStylePr>
    <w:tblStylePr w:type="firstCol">
      <w:tblPr/>
      <w:tcPr>
        <w:shd w:val="clear" w:color="auto" w:fill="D99594"/>
      </w:tcPr>
    </w:tblStylePr>
    <w:tblStylePr w:type="lastCol">
      <w:tblPr/>
      <w:tcPr>
        <w:shd w:val="clear" w:color="auto" w:fill="D99594"/>
      </w:tcPr>
    </w:tblStylePr>
    <w:tblStylePr w:type="band2Vert">
      <w:tblPr/>
      <w:tcPr>
        <w:shd w:val="clear" w:color="auto" w:fill="F2DBDB"/>
      </w:tcPr>
    </w:tblStylePr>
    <w:tblStylePr w:type="band2Horz">
      <w:tblPr/>
      <w:tcPr>
        <w:shd w:val="clear" w:color="auto" w:fill="F2DBDB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6923C"/>
        <w:left w:val="single" w:sz="4" w:space="0" w:color="76923C"/>
        <w:bottom w:val="single" w:sz="4" w:space="0" w:color="76923C"/>
        <w:right w:val="single" w:sz="4" w:space="0" w:color="76923C"/>
        <w:insideH w:val="single" w:sz="4" w:space="0" w:color="76923C"/>
        <w:insideV w:val="single" w:sz="4" w:space="0" w:color="76923C"/>
      </w:tblBorders>
      <w:tblCellMar>
        <w:top w:w="0" w:type="dxa"/>
        <w:left w:w="1" w:type="dxa"/>
        <w:bottom w:w="0" w:type="dxa"/>
        <w:right w:w="1" w:type="dxa"/>
      </w:tblCellMar>
    </w:tblPr>
    <w:tblStylePr w:type="firstRow">
      <w:tblPr/>
      <w:tcPr>
        <w:shd w:val="clear" w:color="auto" w:fill="C2D69B"/>
      </w:tcPr>
    </w:tblStylePr>
    <w:tblStylePr w:type="lastRow">
      <w:tblPr/>
      <w:tcPr>
        <w:shd w:val="clear" w:color="auto" w:fill="C2D69B"/>
      </w:tcPr>
    </w:tblStylePr>
    <w:tblStylePr w:type="firstCol">
      <w:tblPr/>
      <w:tcPr>
        <w:shd w:val="clear" w:color="auto" w:fill="C2D69B"/>
      </w:tcPr>
    </w:tblStylePr>
    <w:tblStylePr w:type="lastCol">
      <w:tblPr/>
      <w:tcPr>
        <w:shd w:val="clear" w:color="auto" w:fill="C2D69B"/>
      </w:tcPr>
    </w:tblStylePr>
    <w:tblStylePr w:type="band2Vert">
      <w:tblPr/>
      <w:tcPr>
        <w:shd w:val="clear" w:color="auto" w:fill="EAF1DD"/>
      </w:tcPr>
    </w:tblStylePr>
    <w:tblStylePr w:type="band2Horz">
      <w:tblPr/>
      <w:tcPr>
        <w:shd w:val="clear" w:color="auto" w:fill="EAF1DD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5F497A"/>
        <w:left w:val="single" w:sz="4" w:space="0" w:color="5F497A"/>
        <w:bottom w:val="single" w:sz="4" w:space="0" w:color="5F497A"/>
        <w:right w:val="single" w:sz="4" w:space="0" w:color="5F497A"/>
        <w:insideH w:val="single" w:sz="4" w:space="0" w:color="5F497A"/>
        <w:insideV w:val="single" w:sz="4" w:space="0" w:color="5F497A"/>
      </w:tblBorders>
      <w:tblCellMar>
        <w:top w:w="0" w:type="dxa"/>
        <w:left w:w="1" w:type="dxa"/>
        <w:bottom w:w="0" w:type="dxa"/>
        <w:right w:w="1" w:type="dxa"/>
      </w:tblCellMar>
    </w:tblPr>
    <w:tblStylePr w:type="firstRow">
      <w:tblPr/>
      <w:tcPr>
        <w:shd w:val="clear" w:color="auto" w:fill="B2A1C7"/>
      </w:tcPr>
    </w:tblStylePr>
    <w:tblStylePr w:type="lastRow">
      <w:tblPr/>
      <w:tcPr>
        <w:shd w:val="clear" w:color="auto" w:fill="B2A1C7"/>
      </w:tcPr>
    </w:tblStylePr>
    <w:tblStylePr w:type="firstCol">
      <w:tblPr/>
      <w:tcPr>
        <w:shd w:val="clear" w:color="auto" w:fill="B2A1C7"/>
      </w:tcPr>
    </w:tblStylePr>
    <w:tblStylePr w:type="lastCol">
      <w:tblPr/>
      <w:tcPr>
        <w:shd w:val="clear" w:color="auto" w:fill="B2A1C7"/>
      </w:tcPr>
    </w:tblStylePr>
    <w:tblStylePr w:type="band2Vert">
      <w:tblPr/>
      <w:tcPr>
        <w:shd w:val="clear" w:color="auto" w:fill="E5DFEC"/>
      </w:tcPr>
    </w:tblStylePr>
    <w:tblStylePr w:type="band2Horz">
      <w:tblPr/>
      <w:tcPr>
        <w:shd w:val="clear" w:color="auto" w:fill="E5DFEC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31849B"/>
        <w:left w:val="single" w:sz="4" w:space="0" w:color="31849B"/>
        <w:bottom w:val="single" w:sz="4" w:space="0" w:color="31849B"/>
        <w:right w:val="single" w:sz="4" w:space="0" w:color="31849B"/>
        <w:insideH w:val="single" w:sz="4" w:space="0" w:color="31849B"/>
        <w:insideV w:val="single" w:sz="4" w:space="0" w:color="31849B"/>
      </w:tblBorders>
      <w:tblCellMar>
        <w:top w:w="0" w:type="dxa"/>
        <w:left w:w="1" w:type="dxa"/>
        <w:bottom w:w="0" w:type="dxa"/>
        <w:right w:w="1" w:type="dxa"/>
      </w:tblCellMar>
    </w:tblPr>
    <w:tblStylePr w:type="firstRow">
      <w:tblPr/>
      <w:tcPr>
        <w:shd w:val="clear" w:color="auto" w:fill="92CDDC"/>
      </w:tcPr>
    </w:tblStylePr>
    <w:tblStylePr w:type="lastRow">
      <w:tblPr/>
      <w:tcPr>
        <w:shd w:val="clear" w:color="auto" w:fill="92CDDC"/>
      </w:tcPr>
    </w:tblStylePr>
    <w:tblStylePr w:type="firstCol">
      <w:tblPr/>
      <w:tcPr>
        <w:shd w:val="clear" w:color="auto" w:fill="92CDDC"/>
      </w:tcPr>
    </w:tblStylePr>
    <w:tblStylePr w:type="lastCol">
      <w:tblPr/>
      <w:tcPr>
        <w:shd w:val="clear" w:color="auto" w:fill="92CDDC"/>
      </w:tcPr>
    </w:tblStylePr>
    <w:tblStylePr w:type="band2Vert">
      <w:tblPr/>
      <w:tcPr>
        <w:shd w:val="clear" w:color="auto" w:fill="DAEEF3"/>
      </w:tcPr>
    </w:tblStylePr>
    <w:tblStylePr w:type="band2Horz">
      <w:tblPr/>
      <w:tcPr>
        <w:shd w:val="clear" w:color="auto" w:fill="DAEEF3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36C0A"/>
        <w:left w:val="single" w:sz="4" w:space="0" w:color="E36C0A"/>
        <w:bottom w:val="single" w:sz="4" w:space="0" w:color="E36C0A"/>
        <w:right w:val="single" w:sz="4" w:space="0" w:color="E36C0A"/>
        <w:insideH w:val="single" w:sz="4" w:space="0" w:color="E36C0A"/>
        <w:insideV w:val="single" w:sz="4" w:space="0" w:color="E36C0A"/>
      </w:tblBorders>
      <w:tblCellMar>
        <w:top w:w="0" w:type="dxa"/>
        <w:left w:w="1" w:type="dxa"/>
        <w:bottom w:w="0" w:type="dxa"/>
        <w:right w:w="1" w:type="dxa"/>
      </w:tblCellMar>
    </w:tblPr>
    <w:tblStylePr w:type="firstRow">
      <w:tblPr/>
      <w:tcPr>
        <w:shd w:val="clear" w:color="auto" w:fill="FABF8F"/>
      </w:tcPr>
    </w:tblStylePr>
    <w:tblStylePr w:type="lastRow">
      <w:tblPr/>
      <w:tcPr>
        <w:shd w:val="clear" w:color="auto" w:fill="FABF8F"/>
      </w:tcPr>
    </w:tblStylePr>
    <w:tblStylePr w:type="firstCol">
      <w:tblPr/>
      <w:tcPr>
        <w:shd w:val="clear" w:color="auto" w:fill="FABF8F"/>
      </w:tcPr>
    </w:tblStylePr>
    <w:tblStylePr w:type="lastCol">
      <w:tblPr/>
      <w:tcPr>
        <w:shd w:val="clear" w:color="auto" w:fill="FABF8F"/>
      </w:tcPr>
    </w:tblStylePr>
    <w:tblStylePr w:type="band2Vert">
      <w:tblPr/>
      <w:tcPr>
        <w:shd w:val="clear" w:color="auto" w:fill="FDE9D9"/>
      </w:tcPr>
    </w:tblStylePr>
    <w:tblStylePr w:type="band2Horz">
      <w:tblPr/>
      <w:tcPr>
        <w:shd w:val="clear" w:color="auto" w:fill="FDE9D9"/>
      </w:tcPr>
    </w:tblStylePr>
  </w:style>
  <w:style w:type="character" w:styleId="a7">
    <w:name w:val="Hyperlink"/>
    <w:uiPriority w:val="99"/>
    <w:unhideWhenUsed/>
    <w:rPr>
      <w:color w:val="0000FF"/>
      <w:u w:val="single"/>
    </w:rPr>
  </w:style>
  <w:style w:type="table" w:customStyle="1" w:styleId="GenStyleDefTableGrid">
    <w:name w:val="GenStyleDefTableGrid"/>
    <w:basedOn w:val="a1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" w:type="dxa"/>
        <w:bottom w:w="0" w:type="dxa"/>
        <w:right w:w="1" w:type="dxa"/>
      </w:tblCellMar>
    </w:tblPr>
    <w:tblStylePr w:type="firstRow">
      <w:tblPr/>
      <w:tcPr>
        <w:shd w:val="clear" w:color="auto" w:fill="D99594"/>
      </w:tcPr>
    </w:tblStylePr>
    <w:tblStylePr w:type="lastRow">
      <w:tblPr/>
      <w:tcPr>
        <w:shd w:val="clear" w:color="auto" w:fill="D99594"/>
      </w:tcPr>
    </w:tblStylePr>
    <w:tblStylePr w:type="firstCol">
      <w:tblPr/>
      <w:tcPr>
        <w:shd w:val="clear" w:color="auto" w:fill="D99594"/>
      </w:tcPr>
    </w:tblStylePr>
    <w:tblStylePr w:type="lastCol">
      <w:tblPr/>
      <w:tcPr>
        <w:shd w:val="clear" w:color="auto" w:fill="D99594"/>
      </w:tcPr>
    </w:tblStylePr>
    <w:tblStylePr w:type="band2Vert">
      <w:tblPr/>
      <w:tcPr>
        <w:shd w:val="clear" w:color="auto" w:fill="F2DBDB"/>
      </w:tcPr>
    </w:tblStylePr>
    <w:tblStylePr w:type="band2Horz">
      <w:tblPr/>
      <w:tcPr>
        <w:shd w:val="clear" w:color="auto" w:fill="F2DBDB"/>
      </w:tcPr>
    </w:tblStylePr>
  </w:style>
  <w:style w:type="paragraph" w:styleId="a8">
    <w:name w:val="Body Text"/>
    <w:basedOn w:val="a"/>
    <w:semiHidden/>
    <w:unhideWhenUsed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9">
    <w:name w:val="Основной текст Знак"/>
    <w:basedOn w:val="a0"/>
    <w:semiHidden/>
    <w:rPr>
      <w:rFonts w:ascii="Times New Roman" w:eastAsia="Times New Roman" w:hAnsi="Times New Roman" w:cs="Times New Roman" w:hint="default"/>
      <w:sz w:val="24"/>
      <w:szCs w:val="20"/>
      <w:lang w:eastAsia="ru-RU"/>
    </w:rPr>
  </w:style>
  <w:style w:type="paragraph" w:styleId="aa">
    <w:name w:val="Body Text Indent"/>
    <w:basedOn w:val="a"/>
    <w:semiHidden/>
    <w:unhideWhenUsed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b">
    <w:name w:val="Основной текст с отступом Знак"/>
    <w:basedOn w:val="a0"/>
    <w:semiHidden/>
    <w:rPr>
      <w:rFonts w:ascii="Times New Roman" w:eastAsia="Times New Roman" w:hAnsi="Times New Roman" w:cs="Times New Roman" w:hint="default"/>
      <w:sz w:val="24"/>
      <w:szCs w:val="24"/>
      <w:lang w:eastAsia="ar-SA"/>
    </w:rPr>
  </w:style>
  <w:style w:type="paragraph" w:styleId="ac">
    <w:name w:val="Plain Text"/>
    <w:basedOn w:val="a"/>
    <w:semiHidden/>
    <w:unhideWhenUsed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d">
    <w:name w:val="Текст Знак"/>
    <w:basedOn w:val="a0"/>
    <w:semiHidden/>
    <w:rPr>
      <w:rFonts w:ascii="Courier New" w:eastAsia="Times New Roman" w:hAnsi="Courier New" w:cs="Courier New" w:hint="default"/>
      <w:sz w:val="20"/>
      <w:szCs w:val="20"/>
      <w:lang w:eastAsia="ru-RU"/>
    </w:rPr>
  </w:style>
  <w:style w:type="paragraph" w:customStyle="1" w:styleId="Standard">
    <w:name w:val="Standard"/>
    <w:pPr>
      <w:widowControl w:val="0"/>
      <w:spacing w:after="0" w:line="240" w:lineRule="auto"/>
    </w:pPr>
    <w:rPr>
      <w:rFonts w:ascii="Times New Roman" w:eastAsia="Times New Roman" w:hAnsi="Times New Roman" w:cs="Tahoma"/>
      <w:sz w:val="24"/>
      <w:szCs w:val="24"/>
      <w:lang w:val="de-DE" w:eastAsia="ja-JP" w:bidi="fa-IR"/>
    </w:rPr>
  </w:style>
  <w:style w:type="character" w:customStyle="1" w:styleId="ae">
    <w:name w:val="Основной текст_"/>
    <w:rPr>
      <w:rFonts w:ascii="Arial" w:eastAsia="Arial" w:hAnsi="Arial" w:cs="Arial" w:hint="default"/>
      <w:sz w:val="21"/>
      <w:szCs w:val="21"/>
      <w:highlight w:val="white"/>
    </w:rPr>
  </w:style>
  <w:style w:type="paragraph" w:styleId="af">
    <w:name w:val="Balloon Text"/>
    <w:basedOn w:val="a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uiPriority w:val="99"/>
    <w:semiHidden/>
    <w:rPr>
      <w:rFonts w:ascii="Tahoma" w:hAnsi="Tahoma" w:cs="Tahoma" w:hint="default"/>
      <w:sz w:val="16"/>
      <w:szCs w:val="16"/>
    </w:rPr>
  </w:style>
  <w:style w:type="paragraph" w:styleId="af1">
    <w:name w:val="Normal (Web)"/>
    <w:basedOn w:val="a"/>
    <w:unhideWhenUsed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2">
    <w:name w:val="Без интервала Знак"/>
    <w:rPr>
      <w:rFonts w:ascii="Calibri" w:hAnsi="Calibri" w:cs="Calibri" w:hint="default"/>
    </w:rPr>
  </w:style>
  <w:style w:type="paragraph" w:styleId="af3">
    <w:name w:val="No Spacing"/>
    <w:qFormat/>
    <w:pPr>
      <w:spacing w:after="0" w:line="240" w:lineRule="auto"/>
    </w:pPr>
  </w:style>
  <w:style w:type="paragraph" w:customStyle="1" w:styleId="j14">
    <w:name w:val="j14"/>
    <w:basedOn w:val="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0">
    <w:name w:val="s0"/>
    <w:basedOn w:val="a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</a:ln>
        <a:ln w="25400" cap="flat" cmpd="sng" algn="ctr">
          <a:solidFill>
            <a:schemeClr val="phClr"/>
          </a:solidFill>
        </a:ln>
        <a:ln w="38100" cap="flat" cmpd="sng" algn="ctr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1633</Words>
  <Characters>9313</Characters>
  <Application>Microsoft Office Word</Application>
  <DocSecurity>0</DocSecurity>
  <Lines>77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Ascensio System</Company>
  <LinksUpToDate>false</LinksUpToDate>
  <CharactersWithSpaces>10925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КЕНЖАЛҚЫЗЫ ӘЙГЕРІМ</dc:creator>
  <cp:lastModifiedBy>Герцог Вера Александровна</cp:lastModifiedBy>
  <cp:revision>4</cp:revision>
  <cp:lastPrinted>2016-04-28T05:21:00Z</cp:lastPrinted>
  <dcterms:created xsi:type="dcterms:W3CDTF">2016-04-28T05:22:00Z</dcterms:created>
  <dcterms:modified xsi:type="dcterms:W3CDTF">2016-07-07T12:51:00Z</dcterms:modified>
</cp:coreProperties>
</file>